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0F007" w14:textId="77777777" w:rsidR="003F336E" w:rsidRPr="00301442" w:rsidRDefault="003F336E" w:rsidP="00301442">
      <w:pPr>
        <w:pStyle w:val="Paragrafoelenco"/>
        <w:widowControl/>
        <w:adjustRightInd w:val="0"/>
        <w:ind w:left="720" w:right="0"/>
        <w:contextualSpacing/>
        <w:rPr>
          <w:rFonts w:asciiTheme="minorHAnsi" w:eastAsiaTheme="minorHAnsi" w:hAnsiTheme="minorHAnsi" w:cstheme="minorHAnsi"/>
          <w:lang w:eastAsia="en-US" w:bidi="ar-SA"/>
        </w:rPr>
      </w:pPr>
      <w:r w:rsidRPr="00301442">
        <w:rPr>
          <w:rFonts w:asciiTheme="minorHAnsi" w:eastAsiaTheme="minorHAnsi" w:hAnsiTheme="minorHAnsi" w:cstheme="minorHAnsi"/>
          <w:lang w:eastAsia="en-US" w:bidi="ar-SA"/>
        </w:rPr>
        <w:t>Sig. ____________________________________</w:t>
      </w:r>
    </w:p>
    <w:p w14:paraId="6A05A809" w14:textId="77777777" w:rsidR="003F336E" w:rsidRPr="00301442" w:rsidRDefault="003F336E" w:rsidP="00301442">
      <w:pPr>
        <w:pStyle w:val="Paragrafoelenco"/>
        <w:widowControl/>
        <w:adjustRightInd w:val="0"/>
        <w:ind w:left="720" w:right="0"/>
        <w:contextualSpacing/>
        <w:rPr>
          <w:rFonts w:asciiTheme="minorHAnsi" w:eastAsiaTheme="minorHAnsi" w:hAnsiTheme="minorHAnsi" w:cstheme="minorHAnsi"/>
          <w:lang w:eastAsia="en-US" w:bidi="ar-SA"/>
        </w:rPr>
      </w:pPr>
    </w:p>
    <w:p w14:paraId="2EDBF8E2" w14:textId="77777777" w:rsidR="00E248EA" w:rsidRPr="00301442" w:rsidRDefault="00782D0A" w:rsidP="00301442">
      <w:pPr>
        <w:pStyle w:val="Paragrafoelenco"/>
        <w:widowControl/>
        <w:adjustRightInd w:val="0"/>
        <w:ind w:left="720" w:right="0"/>
        <w:contextualSpacing/>
        <w:rPr>
          <w:rFonts w:asciiTheme="minorHAnsi" w:eastAsiaTheme="minorHAnsi" w:hAnsiTheme="minorHAnsi" w:cstheme="minorHAnsi"/>
          <w:lang w:eastAsia="en-US" w:bidi="ar-SA"/>
        </w:rPr>
      </w:pPr>
      <w:r>
        <w:rPr>
          <w:rFonts w:asciiTheme="minorHAnsi" w:eastAsiaTheme="minorHAnsi" w:hAnsiTheme="minorHAnsi" w:cstheme="minorHAnsi"/>
          <w:lang w:eastAsia="en-US" w:bidi="ar-SA"/>
        </w:rPr>
        <w:t xml:space="preserve"> </w:t>
      </w:r>
      <w:r w:rsidR="00E248EA" w:rsidRPr="00301442">
        <w:rPr>
          <w:rFonts w:asciiTheme="minorHAnsi" w:eastAsiaTheme="minorHAnsi" w:hAnsiTheme="minorHAnsi" w:cstheme="minorHAnsi"/>
          <w:lang w:eastAsia="en-US" w:bidi="ar-SA"/>
        </w:rPr>
        <w:t>Gentile Paziente,</w:t>
      </w:r>
    </w:p>
    <w:p w14:paraId="5A39BBE3" w14:textId="77777777" w:rsidR="00E248EA" w:rsidRPr="00301442" w:rsidRDefault="00E248EA" w:rsidP="00301442">
      <w:pPr>
        <w:pStyle w:val="Paragrafoelenco"/>
        <w:widowControl/>
        <w:adjustRightInd w:val="0"/>
        <w:ind w:left="720" w:right="0"/>
        <w:contextualSpacing/>
        <w:rPr>
          <w:rFonts w:asciiTheme="minorHAnsi" w:eastAsiaTheme="minorHAnsi" w:hAnsiTheme="minorHAnsi" w:cstheme="minorHAnsi"/>
          <w:lang w:eastAsia="en-US" w:bidi="ar-SA"/>
        </w:rPr>
      </w:pPr>
    </w:p>
    <w:p w14:paraId="5575633C" w14:textId="77777777" w:rsidR="00E248EA" w:rsidRPr="00301442" w:rsidRDefault="00E248EA" w:rsidP="00301442">
      <w:pPr>
        <w:pStyle w:val="Paragrafoelenco"/>
        <w:widowControl/>
        <w:adjustRightInd w:val="0"/>
        <w:ind w:left="426" w:right="0" w:firstLine="0"/>
        <w:contextualSpacing/>
        <w:rPr>
          <w:rFonts w:asciiTheme="minorHAnsi" w:eastAsiaTheme="minorHAnsi" w:hAnsiTheme="minorHAnsi" w:cstheme="minorHAnsi"/>
          <w:lang w:eastAsia="en-US" w:bidi="ar-SA"/>
        </w:rPr>
      </w:pPr>
      <w:r w:rsidRPr="00301442">
        <w:rPr>
          <w:rFonts w:asciiTheme="minorHAnsi" w:eastAsiaTheme="minorHAnsi" w:hAnsiTheme="minorHAnsi" w:cstheme="minorHAnsi"/>
          <w:lang w:eastAsia="en-US" w:bidi="ar-SA"/>
        </w:rPr>
        <w:t>in questo modulo vengono riassunti i concetti a Lei già espressi verbalmente nel corso degli incontri precedenti, precisandoli e definendoli nelle loro linee essenziali, in modo da avere anche per iscritto il Suo assenso all’esecuzione delle terapie prescritte e concordate.</w:t>
      </w:r>
    </w:p>
    <w:p w14:paraId="2BA9F84D" w14:textId="77777777" w:rsidR="00B26713" w:rsidRPr="00301442" w:rsidRDefault="00B26713" w:rsidP="00301442">
      <w:pPr>
        <w:pStyle w:val="Titolo1"/>
        <w:spacing w:before="136"/>
        <w:ind w:left="426"/>
        <w:jc w:val="both"/>
        <w:rPr>
          <w:rFonts w:asciiTheme="minorHAnsi" w:eastAsiaTheme="minorHAnsi" w:hAnsiTheme="minorHAnsi" w:cstheme="minorHAnsi"/>
          <w:bCs w:val="0"/>
          <w:lang w:eastAsia="en-US" w:bidi="ar-SA"/>
        </w:rPr>
      </w:pPr>
      <w:r w:rsidRPr="00301442">
        <w:rPr>
          <w:rFonts w:asciiTheme="minorHAnsi" w:eastAsiaTheme="minorHAnsi" w:hAnsiTheme="minorHAnsi" w:cstheme="minorHAnsi"/>
          <w:bCs w:val="0"/>
          <w:lang w:eastAsia="en-US" w:bidi="ar-SA"/>
        </w:rPr>
        <w:t xml:space="preserve">Diagnosi o sospetto diagnostico: </w:t>
      </w:r>
    </w:p>
    <w:p w14:paraId="481A74DB" w14:textId="77777777" w:rsidR="00B26713" w:rsidRPr="00301442" w:rsidRDefault="00B26713" w:rsidP="00301442">
      <w:pPr>
        <w:pStyle w:val="Titolo1"/>
        <w:spacing w:before="136"/>
        <w:ind w:left="426"/>
        <w:jc w:val="both"/>
        <w:rPr>
          <w:rFonts w:asciiTheme="minorHAnsi" w:eastAsiaTheme="minorHAnsi" w:hAnsiTheme="minorHAnsi" w:cstheme="minorHAnsi"/>
          <w:b w:val="0"/>
          <w:bCs w:val="0"/>
          <w:lang w:eastAsia="en-US" w:bidi="ar-SA"/>
        </w:rPr>
      </w:pPr>
      <w:r w:rsidRPr="00301442">
        <w:rPr>
          <w:rFonts w:asciiTheme="minorHAnsi" w:eastAsiaTheme="minorHAnsi" w:hAnsiTheme="minorHAnsi" w:cstheme="minorHAnsi"/>
          <w:b w:val="0"/>
          <w:bCs w:val="0"/>
          <w:lang w:eastAsia="en-US" w:bidi="ar-SA"/>
        </w:rPr>
        <w:t>Deficit dell’erezione, anomalie anatomiche del pene</w:t>
      </w:r>
      <w:r w:rsidR="003F336E" w:rsidRPr="00301442">
        <w:rPr>
          <w:rFonts w:asciiTheme="minorHAnsi" w:eastAsiaTheme="minorHAnsi" w:hAnsiTheme="minorHAnsi" w:cstheme="minorHAnsi"/>
          <w:b w:val="0"/>
          <w:bCs w:val="0"/>
          <w:lang w:eastAsia="en-US" w:bidi="ar-SA"/>
        </w:rPr>
        <w:t>.</w:t>
      </w:r>
    </w:p>
    <w:p w14:paraId="72A3D3EC" w14:textId="77777777" w:rsidR="003F336E" w:rsidRPr="00301442" w:rsidRDefault="003F336E" w:rsidP="00301442">
      <w:pPr>
        <w:pStyle w:val="Titolo1"/>
        <w:spacing w:before="0"/>
        <w:ind w:left="426"/>
        <w:jc w:val="both"/>
        <w:rPr>
          <w:rFonts w:asciiTheme="minorHAnsi" w:eastAsiaTheme="minorHAnsi" w:hAnsiTheme="minorHAnsi" w:cstheme="minorHAnsi"/>
          <w:b w:val="0"/>
          <w:bCs w:val="0"/>
          <w:lang w:eastAsia="en-US" w:bidi="ar-SA"/>
        </w:rPr>
      </w:pPr>
    </w:p>
    <w:p w14:paraId="130240F0" w14:textId="77777777" w:rsidR="00E248EA" w:rsidRPr="00301442" w:rsidRDefault="00B26713" w:rsidP="00301442">
      <w:pPr>
        <w:pStyle w:val="Titolo1"/>
        <w:spacing w:before="0"/>
        <w:ind w:left="426"/>
        <w:jc w:val="both"/>
        <w:rPr>
          <w:rFonts w:asciiTheme="minorHAnsi" w:eastAsiaTheme="minorHAnsi" w:hAnsiTheme="minorHAnsi" w:cstheme="minorHAnsi"/>
          <w:bCs w:val="0"/>
          <w:lang w:eastAsia="en-US" w:bidi="ar-SA"/>
        </w:rPr>
      </w:pPr>
      <w:r w:rsidRPr="00301442">
        <w:rPr>
          <w:rFonts w:asciiTheme="minorHAnsi" w:eastAsiaTheme="minorHAnsi" w:hAnsiTheme="minorHAnsi" w:cstheme="minorHAnsi"/>
          <w:bCs w:val="0"/>
          <w:lang w:eastAsia="en-US" w:bidi="ar-SA"/>
        </w:rPr>
        <w:t>D</w:t>
      </w:r>
      <w:r w:rsidR="00E248EA" w:rsidRPr="00301442">
        <w:rPr>
          <w:rFonts w:asciiTheme="minorHAnsi" w:eastAsiaTheme="minorHAnsi" w:hAnsiTheme="minorHAnsi" w:cstheme="minorHAnsi"/>
          <w:bCs w:val="0"/>
          <w:lang w:eastAsia="en-US" w:bidi="ar-SA"/>
        </w:rPr>
        <w:t>escrizione</w:t>
      </w:r>
      <w:r w:rsidR="003F336E" w:rsidRPr="00301442">
        <w:rPr>
          <w:rFonts w:asciiTheme="minorHAnsi" w:eastAsiaTheme="minorHAnsi" w:hAnsiTheme="minorHAnsi" w:cstheme="minorHAnsi"/>
          <w:bCs w:val="0"/>
          <w:lang w:eastAsia="en-US" w:bidi="ar-SA"/>
        </w:rPr>
        <w:t xml:space="preserve"> del trattamento</w:t>
      </w:r>
      <w:r w:rsidR="00301442" w:rsidRPr="00301442">
        <w:rPr>
          <w:rFonts w:asciiTheme="minorHAnsi" w:eastAsiaTheme="minorHAnsi" w:hAnsiTheme="minorHAnsi" w:cstheme="minorHAnsi"/>
          <w:bCs w:val="0"/>
          <w:lang w:eastAsia="en-US" w:bidi="ar-SA"/>
        </w:rPr>
        <w:t xml:space="preserve"> proposto</w:t>
      </w:r>
      <w:r w:rsidR="00E248EA" w:rsidRPr="00301442">
        <w:rPr>
          <w:rFonts w:asciiTheme="minorHAnsi" w:eastAsiaTheme="minorHAnsi" w:hAnsiTheme="minorHAnsi" w:cstheme="minorHAnsi"/>
          <w:bCs w:val="0"/>
          <w:lang w:eastAsia="en-US" w:bidi="ar-SA"/>
        </w:rPr>
        <w:t>:</w:t>
      </w:r>
    </w:p>
    <w:p w14:paraId="0D0B940D" w14:textId="77777777" w:rsidR="003F336E" w:rsidRPr="00301442" w:rsidRDefault="003F336E" w:rsidP="00301442">
      <w:pPr>
        <w:pStyle w:val="Titolo1"/>
        <w:spacing w:before="0"/>
        <w:ind w:left="426"/>
        <w:jc w:val="both"/>
        <w:rPr>
          <w:rFonts w:asciiTheme="minorHAnsi" w:eastAsiaTheme="minorHAnsi" w:hAnsiTheme="minorHAnsi" w:cstheme="minorHAnsi"/>
          <w:b w:val="0"/>
          <w:bCs w:val="0"/>
          <w:lang w:eastAsia="en-US" w:bidi="ar-SA"/>
        </w:rPr>
      </w:pPr>
    </w:p>
    <w:p w14:paraId="4B18C95D" w14:textId="77777777" w:rsidR="00B26713" w:rsidRPr="00301442" w:rsidRDefault="003F336E" w:rsidP="00301442">
      <w:pPr>
        <w:pStyle w:val="Corpotesto"/>
        <w:tabs>
          <w:tab w:val="left" w:pos="426"/>
        </w:tabs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301442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L’ecococolordoppler penieno dinamico (ECD dinamico) è un esame diagnostico ambulatoriale utilizzato per una valutazione morfo-funzionale del pene. L’ecografia valuta infatti la morfologia delle strutture che compongono il pene, mentre il colordoppler fornisce informazioni sulla vascolarizzazione del pene</w:t>
      </w:r>
      <w:r w:rsidR="00301442" w:rsidRPr="00301442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stesso</w:t>
      </w:r>
      <w:r w:rsidRPr="00301442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. Questo esame è indicato essenzialmente nello studio della disfunzione erettiva e degli incurvamenti penien</w:t>
      </w:r>
      <w:r w:rsidR="00301442" w:rsidRPr="00301442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i</w:t>
      </w:r>
      <w:r w:rsidRPr="00301442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. L’indagine inizia con l’iniezione di un farmaco vasodilatatore (Alprostadil 5-20 mcg) all’interno dei corpi cavernosi, cui segue un’attesa di circa 10 minuti per consentire al farmaco stesso di favorire l’erezione, necessaria per una corretta valutazione della vascolarizzazione peniena.</w:t>
      </w:r>
      <w:r w:rsidR="00D01034" w:rsidRPr="00301442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L’esame dur</w:t>
      </w:r>
      <w:r w:rsidR="00301442" w:rsidRPr="00301442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a</w:t>
      </w:r>
      <w:r w:rsidR="00D01034" w:rsidRPr="00301442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in media 30 minuti.</w:t>
      </w:r>
    </w:p>
    <w:p w14:paraId="0E27B00A" w14:textId="77777777" w:rsidR="003F336E" w:rsidRDefault="003F336E" w:rsidP="003F336E">
      <w:pPr>
        <w:pStyle w:val="Corpotesto"/>
        <w:ind w:left="284" w:right="151" w:firstLine="284"/>
        <w:jc w:val="both"/>
        <w:rPr>
          <w:rFonts w:asciiTheme="minorHAnsi" w:hAnsiTheme="minorHAnsi" w:cstheme="minorHAnsi"/>
          <w:b/>
        </w:rPr>
      </w:pPr>
    </w:p>
    <w:p w14:paraId="6DEB10E8" w14:textId="77777777" w:rsidR="00B26713" w:rsidRPr="00301442" w:rsidRDefault="00B26713" w:rsidP="00301442">
      <w:pPr>
        <w:pStyle w:val="Corpotesto"/>
        <w:ind w:left="426" w:right="151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 w:bidi="ar-SA"/>
        </w:rPr>
      </w:pPr>
      <w:r w:rsidRPr="00301442">
        <w:rPr>
          <w:rFonts w:asciiTheme="minorHAnsi" w:eastAsiaTheme="minorHAnsi" w:hAnsiTheme="minorHAnsi" w:cstheme="minorHAnsi"/>
          <w:b/>
          <w:sz w:val="22"/>
          <w:szCs w:val="22"/>
          <w:lang w:eastAsia="en-US" w:bidi="ar-SA"/>
        </w:rPr>
        <w:t>Benefici</w:t>
      </w:r>
      <w:r w:rsidR="00301442" w:rsidRPr="00301442">
        <w:rPr>
          <w:rFonts w:asciiTheme="minorHAnsi" w:eastAsiaTheme="minorHAnsi" w:hAnsiTheme="minorHAnsi" w:cstheme="minorHAnsi"/>
          <w:b/>
          <w:sz w:val="22"/>
          <w:szCs w:val="22"/>
          <w:lang w:eastAsia="en-US" w:bidi="ar-SA"/>
        </w:rPr>
        <w:t xml:space="preserve"> </w:t>
      </w:r>
      <w:r w:rsidR="00301442" w:rsidRPr="00301442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del trattamento proposto:</w:t>
      </w:r>
    </w:p>
    <w:p w14:paraId="60061E4C" w14:textId="77777777" w:rsidR="00B26713" w:rsidRPr="00301442" w:rsidRDefault="00B26713" w:rsidP="00301442">
      <w:pPr>
        <w:pStyle w:val="Corpotesto"/>
        <w:ind w:left="426" w:right="151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</w:p>
    <w:p w14:paraId="39A0D02E" w14:textId="77777777" w:rsidR="00B26713" w:rsidRPr="00301442" w:rsidRDefault="003F336E" w:rsidP="00301442">
      <w:pPr>
        <w:pStyle w:val="Corpotesto"/>
        <w:ind w:left="426" w:right="151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301442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L’esame </w:t>
      </w:r>
      <w:r w:rsidR="00D01034" w:rsidRPr="00301442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dinamico del pene </w:t>
      </w:r>
      <w:r w:rsidRPr="00301442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consente di </w:t>
      </w:r>
      <w:r w:rsidR="00D01034" w:rsidRPr="00301442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valutare il flusso a livello delle arterie (e vene) del pene e </w:t>
      </w:r>
      <w:r w:rsidR="00B26713" w:rsidRPr="00301442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identifica</w:t>
      </w:r>
      <w:r w:rsidRPr="00301442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re </w:t>
      </w:r>
      <w:r w:rsidR="00D01034" w:rsidRPr="00301442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eventuali deficit di vascolarizzazione, oppure rendere più visibili alcune placche fibrose o calcifiche altrimenti non riscontrabili.</w:t>
      </w:r>
    </w:p>
    <w:p w14:paraId="44EAFD9C" w14:textId="77777777" w:rsidR="00B26713" w:rsidRPr="00301442" w:rsidRDefault="00B26713" w:rsidP="00301442">
      <w:pPr>
        <w:pStyle w:val="Corpotesto"/>
        <w:ind w:left="426" w:right="151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</w:p>
    <w:p w14:paraId="4204FCDF" w14:textId="77777777" w:rsidR="00782D0A" w:rsidRPr="00782D0A" w:rsidRDefault="00782D0A" w:rsidP="00782D0A">
      <w:pPr>
        <w:tabs>
          <w:tab w:val="left" w:pos="142"/>
        </w:tabs>
        <w:ind w:right="-96" w:firstLine="426"/>
        <w:jc w:val="both"/>
        <w:rPr>
          <w:rFonts w:asciiTheme="minorHAnsi" w:eastAsiaTheme="minorHAnsi" w:hAnsiTheme="minorHAnsi" w:cstheme="minorHAnsi"/>
          <w:b/>
          <w:bCs/>
          <w:lang w:eastAsia="en-US" w:bidi="ar-SA"/>
        </w:rPr>
      </w:pPr>
      <w:r w:rsidRPr="00782D0A">
        <w:rPr>
          <w:rFonts w:asciiTheme="minorHAnsi" w:eastAsiaTheme="minorHAnsi" w:hAnsiTheme="minorHAnsi" w:cstheme="minorHAnsi"/>
          <w:b/>
          <w:bCs/>
          <w:lang w:eastAsia="en-US" w:bidi="ar-SA"/>
        </w:rPr>
        <w:t>Rischi del trattamento proposto:</w:t>
      </w:r>
    </w:p>
    <w:p w14:paraId="4B94D5A5" w14:textId="77777777" w:rsidR="003F336E" w:rsidRPr="00782D0A" w:rsidRDefault="003F336E" w:rsidP="00782D0A">
      <w:pPr>
        <w:tabs>
          <w:tab w:val="left" w:pos="1214"/>
        </w:tabs>
        <w:spacing w:before="3" w:line="232" w:lineRule="auto"/>
        <w:ind w:left="426" w:right="149" w:firstLine="426"/>
        <w:rPr>
          <w:rFonts w:asciiTheme="minorHAnsi" w:eastAsiaTheme="minorHAnsi" w:hAnsiTheme="minorHAnsi" w:cstheme="minorHAnsi"/>
          <w:b/>
          <w:bCs/>
          <w:lang w:eastAsia="en-US" w:bidi="ar-SA"/>
        </w:rPr>
      </w:pPr>
    </w:p>
    <w:p w14:paraId="00869DBA" w14:textId="77777777" w:rsidR="003F336E" w:rsidRPr="00301442" w:rsidRDefault="003F336E" w:rsidP="00301442">
      <w:pPr>
        <w:tabs>
          <w:tab w:val="left" w:pos="1214"/>
        </w:tabs>
        <w:spacing w:before="3" w:line="232" w:lineRule="auto"/>
        <w:ind w:left="426" w:right="149"/>
        <w:jc w:val="both"/>
        <w:rPr>
          <w:rFonts w:asciiTheme="minorHAnsi" w:eastAsiaTheme="minorHAnsi" w:hAnsiTheme="minorHAnsi" w:cstheme="minorHAnsi"/>
          <w:lang w:eastAsia="en-US" w:bidi="ar-SA"/>
        </w:rPr>
      </w:pPr>
      <w:r w:rsidRPr="00301442">
        <w:rPr>
          <w:rFonts w:asciiTheme="minorHAnsi" w:eastAsiaTheme="minorHAnsi" w:hAnsiTheme="minorHAnsi" w:cstheme="minorHAnsi"/>
          <w:lang w:eastAsia="en-US" w:bidi="ar-SA"/>
        </w:rPr>
        <w:t xml:space="preserve">I principali e possibili effetti indesiderati </w:t>
      </w:r>
      <w:r w:rsidR="00301442" w:rsidRPr="00301442">
        <w:rPr>
          <w:rFonts w:asciiTheme="minorHAnsi" w:eastAsiaTheme="minorHAnsi" w:hAnsiTheme="minorHAnsi" w:cstheme="minorHAnsi"/>
          <w:lang w:eastAsia="en-US" w:bidi="ar-SA"/>
        </w:rPr>
        <w:t xml:space="preserve">della procedura </w:t>
      </w:r>
      <w:r w:rsidRPr="00301442">
        <w:rPr>
          <w:rFonts w:asciiTheme="minorHAnsi" w:eastAsiaTheme="minorHAnsi" w:hAnsiTheme="minorHAnsi" w:cstheme="minorHAnsi"/>
          <w:lang w:eastAsia="en-US" w:bidi="ar-SA"/>
        </w:rPr>
        <w:t xml:space="preserve">sono collegati all’azione del farmaco e localizzati nella sede di iniezione. E’ possibile, infatti, avvertire, al momento dell’iniezione del farmaco, bruciore-dolore (fino al 30% dei casi) e/o riscontrare ecchimosi/ematoma cutaneo e sottocutaneo (3%). </w:t>
      </w:r>
    </w:p>
    <w:p w14:paraId="048FD8B0" w14:textId="77777777" w:rsidR="00D01034" w:rsidRPr="00301442" w:rsidRDefault="00D01034" w:rsidP="00301442">
      <w:pPr>
        <w:tabs>
          <w:tab w:val="left" w:pos="1214"/>
        </w:tabs>
        <w:spacing w:before="10" w:line="230" w:lineRule="auto"/>
        <w:ind w:left="426" w:right="139"/>
        <w:jc w:val="both"/>
        <w:rPr>
          <w:rFonts w:asciiTheme="minorHAnsi" w:eastAsiaTheme="minorHAnsi" w:hAnsiTheme="minorHAnsi" w:cstheme="minorHAnsi"/>
          <w:lang w:eastAsia="en-US" w:bidi="ar-SA"/>
        </w:rPr>
      </w:pPr>
      <w:r w:rsidRPr="00301442">
        <w:rPr>
          <w:rFonts w:asciiTheme="minorHAnsi" w:eastAsiaTheme="minorHAnsi" w:hAnsiTheme="minorHAnsi" w:cstheme="minorHAnsi"/>
          <w:lang w:eastAsia="en-US" w:bidi="ar-SA"/>
        </w:rPr>
        <w:t>L’</w:t>
      </w:r>
      <w:r w:rsidR="00D04D46" w:rsidRPr="00301442">
        <w:rPr>
          <w:rFonts w:asciiTheme="minorHAnsi" w:eastAsiaTheme="minorHAnsi" w:hAnsiTheme="minorHAnsi" w:cstheme="minorHAnsi"/>
          <w:lang w:eastAsia="en-US" w:bidi="ar-SA"/>
        </w:rPr>
        <w:t>effetto collaterale più probabile</w:t>
      </w:r>
      <w:r w:rsidRPr="00301442">
        <w:rPr>
          <w:rFonts w:asciiTheme="minorHAnsi" w:eastAsiaTheme="minorHAnsi" w:hAnsiTheme="minorHAnsi" w:cstheme="minorHAnsi"/>
          <w:lang w:eastAsia="en-US" w:bidi="ar-SA"/>
        </w:rPr>
        <w:t xml:space="preserve"> dato dal farmaco è rappresentato dal</w:t>
      </w:r>
      <w:r w:rsidR="00D04D46" w:rsidRPr="00301442">
        <w:rPr>
          <w:rFonts w:asciiTheme="minorHAnsi" w:eastAsiaTheme="minorHAnsi" w:hAnsiTheme="minorHAnsi" w:cstheme="minorHAnsi"/>
          <w:lang w:eastAsia="en-US" w:bidi="ar-SA"/>
        </w:rPr>
        <w:t xml:space="preserve"> priapismo.</w:t>
      </w:r>
      <w:r w:rsidRPr="00301442">
        <w:rPr>
          <w:rFonts w:asciiTheme="minorHAnsi" w:eastAsiaTheme="minorHAnsi" w:hAnsiTheme="minorHAnsi" w:cstheme="minorHAnsi"/>
          <w:lang w:eastAsia="en-US" w:bidi="ar-SA"/>
        </w:rPr>
        <w:t xml:space="preserve"> </w:t>
      </w:r>
    </w:p>
    <w:p w14:paraId="710809BA" w14:textId="77777777" w:rsidR="007B6F58" w:rsidRPr="00782D0A" w:rsidRDefault="00D04D46" w:rsidP="00301442">
      <w:pPr>
        <w:tabs>
          <w:tab w:val="left" w:pos="1214"/>
        </w:tabs>
        <w:spacing w:before="10" w:line="230" w:lineRule="auto"/>
        <w:ind w:left="426" w:right="139"/>
        <w:jc w:val="both"/>
        <w:rPr>
          <w:rFonts w:asciiTheme="minorHAnsi" w:eastAsiaTheme="minorHAnsi" w:hAnsiTheme="minorHAnsi" w:cstheme="minorHAnsi"/>
          <w:lang w:eastAsia="en-US" w:bidi="ar-SA"/>
        </w:rPr>
      </w:pPr>
      <w:r w:rsidRPr="00301442">
        <w:rPr>
          <w:rFonts w:asciiTheme="minorHAnsi" w:eastAsiaTheme="minorHAnsi" w:hAnsiTheme="minorHAnsi" w:cstheme="minorHAnsi"/>
          <w:lang w:eastAsia="en-US" w:bidi="ar-SA"/>
        </w:rPr>
        <w:t xml:space="preserve">Con priapismo si intende una erezione eccessivamente prolungata (superiore alle 4-6 ore), in assenza di desiderio o stimolazione sessuale e </w:t>
      </w:r>
      <w:r w:rsidR="00301442" w:rsidRPr="00301442">
        <w:rPr>
          <w:rFonts w:asciiTheme="minorHAnsi" w:eastAsiaTheme="minorHAnsi" w:hAnsiTheme="minorHAnsi" w:cstheme="minorHAnsi"/>
          <w:lang w:eastAsia="en-US" w:bidi="ar-SA"/>
        </w:rPr>
        <w:t xml:space="preserve">il più delle volte </w:t>
      </w:r>
      <w:r w:rsidRPr="00301442">
        <w:rPr>
          <w:rFonts w:asciiTheme="minorHAnsi" w:eastAsiaTheme="minorHAnsi" w:hAnsiTheme="minorHAnsi" w:cstheme="minorHAnsi"/>
          <w:lang w:eastAsia="en-US" w:bidi="ar-SA"/>
        </w:rPr>
        <w:t>accompagnata da dolore. Tale effetto collaterale è estremamente raro; tuttavia, non è un evento impossibile, pertanto è nostro dovere informarLa della possibilità che si verifichi. Si presenta più frequentemente nei pazienti affetti da anemia falciforme, malattie mieloproliferative (leucemie, linfomi, piastrinosi), crioglobulinemie o in pazienti che stanno effettuando terapie antineoplastiche</w:t>
      </w:r>
      <w:r w:rsidR="00301442" w:rsidRPr="00301442">
        <w:rPr>
          <w:rFonts w:asciiTheme="minorHAnsi" w:eastAsiaTheme="minorHAnsi" w:hAnsiTheme="minorHAnsi" w:cstheme="minorHAnsi"/>
          <w:lang w:eastAsia="en-US" w:bidi="ar-SA"/>
        </w:rPr>
        <w:t xml:space="preserve">; </w:t>
      </w:r>
      <w:r w:rsidRPr="00301442">
        <w:rPr>
          <w:rFonts w:asciiTheme="minorHAnsi" w:eastAsiaTheme="minorHAnsi" w:hAnsiTheme="minorHAnsi" w:cstheme="minorHAnsi"/>
          <w:lang w:eastAsia="en-US" w:bidi="ar-SA"/>
        </w:rPr>
        <w:t xml:space="preserve">in </w:t>
      </w:r>
      <w:r w:rsidR="00301442" w:rsidRPr="00301442">
        <w:rPr>
          <w:rFonts w:asciiTheme="minorHAnsi" w:eastAsiaTheme="minorHAnsi" w:hAnsiTheme="minorHAnsi" w:cstheme="minorHAnsi"/>
          <w:lang w:eastAsia="en-US" w:bidi="ar-SA"/>
        </w:rPr>
        <w:t xml:space="preserve">tutti </w:t>
      </w:r>
      <w:r w:rsidRPr="00301442">
        <w:rPr>
          <w:rFonts w:asciiTheme="minorHAnsi" w:eastAsiaTheme="minorHAnsi" w:hAnsiTheme="minorHAnsi" w:cstheme="minorHAnsi"/>
          <w:lang w:eastAsia="en-US" w:bidi="ar-SA"/>
        </w:rPr>
        <w:t>questi</w:t>
      </w:r>
      <w:r w:rsidR="00301442" w:rsidRPr="00301442">
        <w:rPr>
          <w:rFonts w:asciiTheme="minorHAnsi" w:eastAsiaTheme="minorHAnsi" w:hAnsiTheme="minorHAnsi" w:cstheme="minorHAnsi"/>
          <w:lang w:eastAsia="en-US" w:bidi="ar-SA"/>
        </w:rPr>
        <w:t>,</w:t>
      </w:r>
      <w:r w:rsidRPr="00782D0A">
        <w:rPr>
          <w:rFonts w:asciiTheme="minorHAnsi" w:eastAsiaTheme="minorHAnsi" w:hAnsiTheme="minorHAnsi" w:cstheme="minorHAnsi"/>
          <w:lang w:eastAsia="en-US" w:bidi="ar-SA"/>
        </w:rPr>
        <w:t xml:space="preserve"> </w:t>
      </w:r>
      <w:r w:rsidR="00301442" w:rsidRPr="00782D0A">
        <w:rPr>
          <w:rFonts w:asciiTheme="minorHAnsi" w:eastAsiaTheme="minorHAnsi" w:hAnsiTheme="minorHAnsi" w:cstheme="minorHAnsi"/>
          <w:lang w:eastAsia="en-US" w:bidi="ar-SA"/>
        </w:rPr>
        <w:t xml:space="preserve">pertanto, al </w:t>
      </w:r>
      <w:r w:rsidRPr="00782D0A">
        <w:rPr>
          <w:rFonts w:asciiTheme="minorHAnsi" w:eastAsiaTheme="minorHAnsi" w:hAnsiTheme="minorHAnsi" w:cstheme="minorHAnsi"/>
          <w:lang w:eastAsia="en-US" w:bidi="ar-SA"/>
        </w:rPr>
        <w:t xml:space="preserve">paziente </w:t>
      </w:r>
      <w:r w:rsidR="00301442" w:rsidRPr="00782D0A">
        <w:rPr>
          <w:rFonts w:asciiTheme="minorHAnsi" w:eastAsiaTheme="minorHAnsi" w:hAnsiTheme="minorHAnsi" w:cstheme="minorHAnsi"/>
          <w:lang w:eastAsia="en-US" w:bidi="ar-SA"/>
        </w:rPr>
        <w:t xml:space="preserve">è controindicata </w:t>
      </w:r>
      <w:r w:rsidRPr="00782D0A">
        <w:rPr>
          <w:rFonts w:asciiTheme="minorHAnsi" w:eastAsiaTheme="minorHAnsi" w:hAnsiTheme="minorHAnsi" w:cstheme="minorHAnsi"/>
          <w:lang w:eastAsia="en-US" w:bidi="ar-SA"/>
        </w:rPr>
        <w:t>l'esecuzione del</w:t>
      </w:r>
      <w:r w:rsidR="00301442" w:rsidRPr="00782D0A">
        <w:rPr>
          <w:rFonts w:asciiTheme="minorHAnsi" w:eastAsiaTheme="minorHAnsi" w:hAnsiTheme="minorHAnsi" w:cstheme="minorHAnsi"/>
          <w:lang w:eastAsia="en-US" w:bidi="ar-SA"/>
        </w:rPr>
        <w:t xml:space="preserve"> suddetto </w:t>
      </w:r>
      <w:r w:rsidRPr="00782D0A">
        <w:rPr>
          <w:rFonts w:asciiTheme="minorHAnsi" w:eastAsiaTheme="minorHAnsi" w:hAnsiTheme="minorHAnsi" w:cstheme="minorHAnsi"/>
          <w:lang w:eastAsia="en-US" w:bidi="ar-SA"/>
        </w:rPr>
        <w:t>esame.</w:t>
      </w:r>
    </w:p>
    <w:p w14:paraId="7A520047" w14:textId="77777777" w:rsidR="007B6F58" w:rsidRPr="00782D0A" w:rsidRDefault="00D04D46" w:rsidP="00782D0A">
      <w:pPr>
        <w:tabs>
          <w:tab w:val="left" w:pos="1214"/>
        </w:tabs>
        <w:spacing w:before="3" w:line="232" w:lineRule="auto"/>
        <w:ind w:left="426" w:right="149"/>
        <w:jc w:val="both"/>
        <w:rPr>
          <w:rFonts w:asciiTheme="minorHAnsi" w:eastAsiaTheme="minorHAnsi" w:hAnsiTheme="minorHAnsi" w:cstheme="minorHAnsi"/>
          <w:lang w:eastAsia="en-US" w:bidi="ar-SA"/>
        </w:rPr>
      </w:pPr>
      <w:r w:rsidRPr="00782D0A">
        <w:rPr>
          <w:rFonts w:asciiTheme="minorHAnsi" w:eastAsiaTheme="minorHAnsi" w:hAnsiTheme="minorHAnsi" w:cstheme="minorHAnsi"/>
          <w:lang w:eastAsia="en-US" w:bidi="ar-SA"/>
        </w:rPr>
        <w:t xml:space="preserve">Nell'eventualità in cui l'erezione non regredisca dopo 2-3 ore, Le consigliamo di applicare del </w:t>
      </w:r>
      <w:r w:rsidRPr="00E248EA">
        <w:rPr>
          <w:rFonts w:asciiTheme="minorHAnsi" w:hAnsiTheme="minorHAnsi" w:cstheme="minorHAnsi"/>
        </w:rPr>
        <w:t xml:space="preserve">ghiaccio sul </w:t>
      </w:r>
      <w:r w:rsidRPr="00782D0A">
        <w:rPr>
          <w:rFonts w:asciiTheme="minorHAnsi" w:eastAsiaTheme="minorHAnsi" w:hAnsiTheme="minorHAnsi" w:cstheme="minorHAnsi"/>
          <w:lang w:eastAsia="en-US" w:bidi="ar-SA"/>
        </w:rPr>
        <w:t xml:space="preserve">pene (non direttamente sulla cute) </w:t>
      </w:r>
      <w:r w:rsidR="00301442" w:rsidRPr="00782D0A">
        <w:rPr>
          <w:rFonts w:asciiTheme="minorHAnsi" w:eastAsiaTheme="minorHAnsi" w:hAnsiTheme="minorHAnsi" w:cstheme="minorHAnsi"/>
          <w:lang w:eastAsia="en-US" w:bidi="ar-SA"/>
        </w:rPr>
        <w:t xml:space="preserve">e </w:t>
      </w:r>
      <w:r w:rsidRPr="00782D0A">
        <w:rPr>
          <w:rFonts w:asciiTheme="minorHAnsi" w:eastAsiaTheme="minorHAnsi" w:hAnsiTheme="minorHAnsi" w:cstheme="minorHAnsi"/>
          <w:lang w:eastAsia="en-US" w:bidi="ar-SA"/>
        </w:rPr>
        <w:t>ricorr</w:t>
      </w:r>
      <w:r w:rsidR="00301442" w:rsidRPr="00782D0A">
        <w:rPr>
          <w:rFonts w:asciiTheme="minorHAnsi" w:eastAsiaTheme="minorHAnsi" w:hAnsiTheme="minorHAnsi" w:cstheme="minorHAnsi"/>
          <w:lang w:eastAsia="en-US" w:bidi="ar-SA"/>
        </w:rPr>
        <w:t>ere</w:t>
      </w:r>
      <w:r w:rsidRPr="00782D0A">
        <w:rPr>
          <w:rFonts w:asciiTheme="minorHAnsi" w:eastAsiaTheme="minorHAnsi" w:hAnsiTheme="minorHAnsi" w:cstheme="minorHAnsi"/>
          <w:lang w:eastAsia="en-US" w:bidi="ar-SA"/>
        </w:rPr>
        <w:t xml:space="preserve"> quanto prima al medico di fiducia o ad un pronto soccorso che disponga di una unità operativa di urologia più vicino alla sua abitazione. </w:t>
      </w:r>
    </w:p>
    <w:p w14:paraId="3DEEC669" w14:textId="77777777" w:rsidR="00301442" w:rsidRPr="00782D0A" w:rsidRDefault="00301442" w:rsidP="00782D0A">
      <w:pPr>
        <w:tabs>
          <w:tab w:val="left" w:pos="1214"/>
        </w:tabs>
        <w:spacing w:before="3" w:line="232" w:lineRule="auto"/>
        <w:ind w:left="426" w:right="149"/>
        <w:jc w:val="both"/>
        <w:rPr>
          <w:rFonts w:asciiTheme="minorHAnsi" w:eastAsiaTheme="minorHAnsi" w:hAnsiTheme="minorHAnsi" w:cstheme="minorHAnsi"/>
          <w:lang w:eastAsia="en-US" w:bidi="ar-SA"/>
        </w:rPr>
      </w:pPr>
    </w:p>
    <w:p w14:paraId="53CF1700" w14:textId="77777777" w:rsidR="00301442" w:rsidRPr="00782D0A" w:rsidRDefault="00301442" w:rsidP="00782D0A">
      <w:pPr>
        <w:tabs>
          <w:tab w:val="left" w:pos="1214"/>
        </w:tabs>
        <w:spacing w:before="3" w:line="232" w:lineRule="auto"/>
        <w:ind w:left="426" w:right="149"/>
        <w:jc w:val="both"/>
        <w:rPr>
          <w:rFonts w:asciiTheme="minorHAnsi" w:eastAsiaTheme="minorHAnsi" w:hAnsiTheme="minorHAnsi" w:cstheme="minorHAnsi"/>
          <w:lang w:eastAsia="en-US" w:bidi="ar-SA"/>
        </w:rPr>
      </w:pPr>
      <w:r w:rsidRPr="00782D0A">
        <w:rPr>
          <w:rFonts w:asciiTheme="minorHAnsi" w:eastAsiaTheme="minorHAnsi" w:hAnsiTheme="minorHAnsi" w:cstheme="minorHAnsi"/>
          <w:b/>
          <w:lang w:eastAsia="en-US" w:bidi="ar-SA"/>
        </w:rPr>
        <w:t>Possibili Alternative</w:t>
      </w:r>
      <w:r w:rsidR="00782D0A" w:rsidRPr="00782D0A">
        <w:rPr>
          <w:rFonts w:asciiTheme="minorHAnsi" w:eastAsiaTheme="minorHAnsi" w:hAnsiTheme="minorHAnsi" w:cstheme="minorHAnsi"/>
          <w:b/>
          <w:lang w:eastAsia="en-US" w:bidi="ar-SA"/>
        </w:rPr>
        <w:t xml:space="preserve"> al trattamento proposto</w:t>
      </w:r>
      <w:r w:rsidRPr="00782D0A">
        <w:rPr>
          <w:rFonts w:asciiTheme="minorHAnsi" w:eastAsiaTheme="minorHAnsi" w:hAnsiTheme="minorHAnsi" w:cstheme="minorHAnsi"/>
          <w:b/>
          <w:lang w:eastAsia="en-US" w:bidi="ar-SA"/>
        </w:rPr>
        <w:t>:</w:t>
      </w:r>
      <w:r w:rsidRPr="00782D0A">
        <w:rPr>
          <w:rFonts w:asciiTheme="minorHAnsi" w:eastAsiaTheme="minorHAnsi" w:hAnsiTheme="minorHAnsi" w:cstheme="minorHAnsi"/>
          <w:lang w:eastAsia="en-US" w:bidi="ar-SA"/>
        </w:rPr>
        <w:t xml:space="preserve"> nessuna</w:t>
      </w:r>
    </w:p>
    <w:p w14:paraId="3656B9AB" w14:textId="77777777" w:rsidR="007B6F58" w:rsidRPr="00782D0A" w:rsidRDefault="007B6F58" w:rsidP="00782D0A">
      <w:pPr>
        <w:tabs>
          <w:tab w:val="left" w:pos="1214"/>
        </w:tabs>
        <w:spacing w:before="3" w:line="232" w:lineRule="auto"/>
        <w:ind w:left="426" w:right="149"/>
        <w:jc w:val="both"/>
        <w:rPr>
          <w:rFonts w:asciiTheme="minorHAnsi" w:eastAsiaTheme="minorHAnsi" w:hAnsiTheme="minorHAnsi" w:cstheme="minorHAnsi"/>
          <w:lang w:eastAsia="en-US" w:bidi="ar-SA"/>
        </w:rPr>
      </w:pPr>
    </w:p>
    <w:p w14:paraId="16099B2D" w14:textId="77777777" w:rsidR="00782D0A" w:rsidRPr="00782D0A" w:rsidRDefault="00782D0A" w:rsidP="00782D0A">
      <w:pPr>
        <w:ind w:left="426"/>
        <w:jc w:val="both"/>
        <w:rPr>
          <w:rFonts w:asciiTheme="minorHAnsi" w:eastAsiaTheme="minorHAnsi" w:hAnsiTheme="minorHAnsi" w:cstheme="minorHAnsi"/>
          <w:b/>
          <w:lang w:eastAsia="en-US" w:bidi="ar-SA"/>
        </w:rPr>
      </w:pPr>
      <w:r w:rsidRPr="00782D0A">
        <w:rPr>
          <w:rFonts w:asciiTheme="minorHAnsi" w:eastAsiaTheme="minorHAnsi" w:hAnsiTheme="minorHAnsi" w:cstheme="minorHAnsi"/>
          <w:b/>
          <w:lang w:eastAsia="en-US" w:bidi="ar-SA"/>
        </w:rPr>
        <w:t>DICHIARAZIONE DI CONSENSO INFORMATO</w:t>
      </w:r>
    </w:p>
    <w:p w14:paraId="049F31CB" w14:textId="77777777" w:rsidR="00782D0A" w:rsidRPr="00782D0A" w:rsidRDefault="00782D0A" w:rsidP="00782D0A">
      <w:pPr>
        <w:ind w:left="426"/>
        <w:jc w:val="both"/>
        <w:rPr>
          <w:rFonts w:asciiTheme="minorHAnsi" w:eastAsiaTheme="minorHAnsi" w:hAnsiTheme="minorHAnsi" w:cstheme="minorHAnsi"/>
          <w:lang w:eastAsia="en-US" w:bidi="ar-SA"/>
        </w:rPr>
      </w:pPr>
    </w:p>
    <w:p w14:paraId="65B44E75" w14:textId="77777777" w:rsidR="00782D0A" w:rsidRDefault="00782D0A" w:rsidP="00782D0A">
      <w:pPr>
        <w:ind w:left="426" w:right="139"/>
        <w:jc w:val="both"/>
        <w:rPr>
          <w:rFonts w:asciiTheme="minorHAnsi" w:eastAsiaTheme="minorHAnsi" w:hAnsiTheme="minorHAnsi" w:cstheme="minorHAnsi"/>
          <w:lang w:eastAsia="en-US" w:bidi="ar-SA"/>
        </w:rPr>
      </w:pPr>
      <w:r w:rsidRPr="00782D0A">
        <w:rPr>
          <w:rFonts w:asciiTheme="minorHAnsi" w:eastAsiaTheme="minorHAnsi" w:hAnsiTheme="minorHAnsi" w:cstheme="minorHAnsi"/>
          <w:lang w:eastAsia="en-US" w:bidi="ar-SA"/>
        </w:rPr>
        <w:t>Io sottoscritto __________________________________ dichiaro di aver letto e compreso le informazioni contenute nel presente documento di consenso informato e di aver</w:t>
      </w:r>
      <w:r>
        <w:rPr>
          <w:rFonts w:asciiTheme="minorHAnsi" w:eastAsiaTheme="minorHAnsi" w:hAnsiTheme="minorHAnsi" w:cstheme="minorHAnsi"/>
          <w:lang w:eastAsia="en-US" w:bidi="ar-SA"/>
        </w:rPr>
        <w:t xml:space="preserve"> ricevuto dal Dr. Sergio Leoni</w:t>
      </w:r>
      <w:r w:rsidRPr="00782D0A">
        <w:rPr>
          <w:rFonts w:asciiTheme="minorHAnsi" w:eastAsiaTheme="minorHAnsi" w:hAnsiTheme="minorHAnsi" w:cstheme="minorHAnsi"/>
          <w:lang w:eastAsia="en-US" w:bidi="ar-SA"/>
        </w:rPr>
        <w:t xml:space="preserve"> tutte le </w:t>
      </w:r>
      <w:r w:rsidRPr="00782D0A">
        <w:rPr>
          <w:rFonts w:asciiTheme="minorHAnsi" w:eastAsiaTheme="minorHAnsi" w:hAnsiTheme="minorHAnsi" w:cstheme="minorHAnsi"/>
          <w:lang w:eastAsia="en-US" w:bidi="ar-SA"/>
        </w:rPr>
        <w:lastRenderedPageBreak/>
        <w:t>spiegazioni che ritenevo utili e opportune, ricevendo risposte chiare e soddisfacenti.</w:t>
      </w:r>
    </w:p>
    <w:p w14:paraId="231D3FCB" w14:textId="77777777" w:rsidR="00782D0A" w:rsidRPr="00782D0A" w:rsidRDefault="00782D0A" w:rsidP="00782D0A">
      <w:pPr>
        <w:tabs>
          <w:tab w:val="left" w:pos="1214"/>
        </w:tabs>
        <w:spacing w:before="3" w:line="232" w:lineRule="auto"/>
        <w:ind w:left="426" w:right="139"/>
        <w:jc w:val="both"/>
        <w:rPr>
          <w:rFonts w:asciiTheme="minorHAnsi" w:eastAsiaTheme="minorHAnsi" w:hAnsiTheme="minorHAnsi" w:cstheme="minorHAnsi"/>
          <w:lang w:eastAsia="en-US" w:bidi="ar-SA"/>
        </w:rPr>
      </w:pPr>
      <w:r w:rsidRPr="00782D0A">
        <w:rPr>
          <w:rFonts w:asciiTheme="minorHAnsi" w:eastAsiaTheme="minorHAnsi" w:hAnsiTheme="minorHAnsi" w:cstheme="minorHAnsi"/>
          <w:lang w:eastAsia="en-US" w:bidi="ar-SA"/>
        </w:rPr>
        <w:t xml:space="preserve">Poiché mi è stato spiegato che </w:t>
      </w:r>
      <w:r>
        <w:rPr>
          <w:rFonts w:asciiTheme="minorHAnsi" w:eastAsiaTheme="minorHAnsi" w:hAnsiTheme="minorHAnsi" w:cstheme="minorHAnsi"/>
          <w:lang w:eastAsia="en-US" w:bidi="ar-SA"/>
        </w:rPr>
        <w:t>i</w:t>
      </w:r>
      <w:r w:rsidRPr="00782D0A">
        <w:rPr>
          <w:rFonts w:asciiTheme="minorHAnsi" w:eastAsiaTheme="minorHAnsi" w:hAnsiTheme="minorHAnsi" w:cstheme="minorHAnsi"/>
          <w:lang w:eastAsia="en-US" w:bidi="ar-SA"/>
        </w:rPr>
        <w:t xml:space="preserve"> possibili </w:t>
      </w:r>
      <w:r>
        <w:rPr>
          <w:rFonts w:asciiTheme="minorHAnsi" w:eastAsiaTheme="minorHAnsi" w:hAnsiTheme="minorHAnsi" w:cstheme="minorHAnsi"/>
          <w:lang w:eastAsia="en-US" w:bidi="ar-SA"/>
        </w:rPr>
        <w:t>rischi o effetti collaterali dati dalla somministrazione del farmaco</w:t>
      </w:r>
      <w:r w:rsidRPr="00782D0A">
        <w:rPr>
          <w:rFonts w:asciiTheme="minorHAnsi" w:eastAsiaTheme="minorHAnsi" w:hAnsiTheme="minorHAnsi" w:cstheme="minorHAnsi"/>
          <w:lang w:eastAsia="en-US" w:bidi="ar-SA"/>
        </w:rPr>
        <w:t xml:space="preserve"> possono essere incrementate dalla contemporanea presenza di particolari patologie in atto o l'assunzione di particolari farmaci, </w:t>
      </w:r>
      <w:r>
        <w:rPr>
          <w:rFonts w:asciiTheme="minorHAnsi" w:eastAsiaTheme="minorHAnsi" w:hAnsiTheme="minorHAnsi" w:cstheme="minorHAnsi"/>
          <w:lang w:eastAsia="en-US" w:bidi="ar-SA"/>
        </w:rPr>
        <w:t xml:space="preserve">dichiaro di non rientrare nelle ipotesi suindicate e controindicate per l’esecuzione del trattamento. </w:t>
      </w:r>
    </w:p>
    <w:p w14:paraId="529CBCCB" w14:textId="77777777" w:rsidR="00782D0A" w:rsidRPr="00782D0A" w:rsidRDefault="00782D0A" w:rsidP="00782D0A">
      <w:pPr>
        <w:tabs>
          <w:tab w:val="left" w:pos="1214"/>
        </w:tabs>
        <w:spacing w:before="3" w:line="232" w:lineRule="auto"/>
        <w:ind w:left="426" w:right="149"/>
        <w:jc w:val="both"/>
        <w:rPr>
          <w:rFonts w:asciiTheme="minorHAnsi" w:eastAsiaTheme="minorHAnsi" w:hAnsiTheme="minorHAnsi" w:cstheme="minorHAnsi"/>
          <w:lang w:eastAsia="en-US" w:bidi="ar-SA"/>
        </w:rPr>
      </w:pPr>
      <w:r w:rsidRPr="00782D0A">
        <w:rPr>
          <w:rFonts w:asciiTheme="minorHAnsi" w:eastAsiaTheme="minorHAnsi" w:hAnsiTheme="minorHAnsi" w:cstheme="minorHAnsi"/>
          <w:lang w:eastAsia="en-US" w:bidi="ar-SA"/>
        </w:rPr>
        <w:t xml:space="preserve">Accetto, pertanto, di essere sottoposto </w:t>
      </w:r>
      <w:r>
        <w:rPr>
          <w:rFonts w:asciiTheme="minorHAnsi" w:eastAsiaTheme="minorHAnsi" w:hAnsiTheme="minorHAnsi" w:cstheme="minorHAnsi"/>
          <w:lang w:eastAsia="en-US" w:bidi="ar-SA"/>
        </w:rPr>
        <w:t>a</w:t>
      </w:r>
      <w:r w:rsidRPr="00782D0A">
        <w:rPr>
          <w:rFonts w:asciiTheme="minorHAnsi" w:eastAsiaTheme="minorHAnsi" w:hAnsiTheme="minorHAnsi" w:cstheme="minorHAnsi"/>
          <w:lang w:eastAsia="en-US" w:bidi="ar-SA"/>
        </w:rPr>
        <w:t>ll'esecuzione dell'ecocolordoppler penieno dinamico.</w:t>
      </w:r>
    </w:p>
    <w:p w14:paraId="53128261" w14:textId="77777777" w:rsidR="00782D0A" w:rsidRPr="00782D0A" w:rsidRDefault="00782D0A" w:rsidP="00782D0A">
      <w:pPr>
        <w:tabs>
          <w:tab w:val="left" w:pos="1214"/>
        </w:tabs>
        <w:spacing w:before="3" w:line="232" w:lineRule="auto"/>
        <w:ind w:left="426" w:right="149"/>
        <w:jc w:val="both"/>
        <w:rPr>
          <w:rFonts w:asciiTheme="minorHAnsi" w:eastAsiaTheme="minorHAnsi" w:hAnsiTheme="minorHAnsi" w:cstheme="minorHAnsi"/>
          <w:lang w:eastAsia="en-US" w:bidi="ar-SA"/>
        </w:rPr>
      </w:pPr>
    </w:p>
    <w:p w14:paraId="4B99056E" w14:textId="77777777" w:rsidR="00782D0A" w:rsidRDefault="00782D0A" w:rsidP="00782D0A">
      <w:pPr>
        <w:tabs>
          <w:tab w:val="left" w:pos="1214"/>
        </w:tabs>
        <w:spacing w:before="3" w:line="232" w:lineRule="auto"/>
        <w:ind w:left="426" w:right="149"/>
        <w:jc w:val="both"/>
        <w:rPr>
          <w:rFonts w:asciiTheme="minorHAnsi" w:eastAsiaTheme="minorHAnsi" w:hAnsiTheme="minorHAnsi" w:cstheme="minorHAnsi"/>
          <w:lang w:eastAsia="en-US" w:bidi="ar-SA"/>
        </w:rPr>
      </w:pPr>
    </w:p>
    <w:p w14:paraId="1299C43A" w14:textId="77777777" w:rsidR="00782D0A" w:rsidRDefault="00782D0A" w:rsidP="00782D0A">
      <w:pPr>
        <w:tabs>
          <w:tab w:val="left" w:pos="1214"/>
        </w:tabs>
        <w:spacing w:before="3" w:line="232" w:lineRule="auto"/>
        <w:ind w:left="426" w:right="149"/>
        <w:jc w:val="both"/>
        <w:rPr>
          <w:rFonts w:asciiTheme="minorHAnsi" w:eastAsiaTheme="minorHAnsi" w:hAnsiTheme="minorHAnsi" w:cstheme="minorHAnsi"/>
          <w:lang w:eastAsia="en-US" w:bidi="ar-SA"/>
        </w:rPr>
      </w:pPr>
    </w:p>
    <w:p w14:paraId="41AB99E2" w14:textId="77777777" w:rsidR="00782D0A" w:rsidRPr="00782D0A" w:rsidRDefault="00782D0A" w:rsidP="00782D0A">
      <w:pPr>
        <w:widowControl/>
        <w:tabs>
          <w:tab w:val="left" w:pos="142"/>
        </w:tabs>
        <w:autoSpaceDE/>
        <w:autoSpaceDN/>
        <w:spacing w:after="200" w:line="276" w:lineRule="auto"/>
        <w:ind w:left="426" w:right="-96"/>
        <w:jc w:val="both"/>
        <w:rPr>
          <w:rFonts w:ascii="Calibri" w:eastAsia="Calibri" w:hAnsi="Calibri" w:cs="Calibri"/>
          <w:b/>
          <w:lang w:eastAsia="en-US" w:bidi="ar-SA"/>
        </w:rPr>
      </w:pPr>
      <w:r w:rsidRPr="00782D0A">
        <w:rPr>
          <w:rFonts w:ascii="Calibri" w:eastAsia="Calibri" w:hAnsi="Calibri" w:cs="Calibri"/>
          <w:b/>
          <w:lang w:eastAsia="en-US" w:bidi="ar-SA"/>
        </w:rPr>
        <w:t xml:space="preserve">Firma del paziente                                                                                  Firma del medico </w:t>
      </w:r>
    </w:p>
    <w:p w14:paraId="0CD230B1" w14:textId="77777777" w:rsidR="00782D0A" w:rsidRPr="00782D0A" w:rsidRDefault="00782D0A" w:rsidP="00782D0A">
      <w:pPr>
        <w:widowControl/>
        <w:tabs>
          <w:tab w:val="left" w:pos="142"/>
        </w:tabs>
        <w:autoSpaceDE/>
        <w:autoSpaceDN/>
        <w:spacing w:after="200" w:line="276" w:lineRule="auto"/>
        <w:ind w:left="426" w:right="-96"/>
        <w:jc w:val="both"/>
        <w:rPr>
          <w:rFonts w:ascii="Calibri" w:eastAsia="Calibri" w:hAnsi="Calibri" w:cs="Times New Roman"/>
          <w:sz w:val="28"/>
          <w:lang w:eastAsia="en-US" w:bidi="ar-SA"/>
        </w:rPr>
      </w:pPr>
      <w:r w:rsidRPr="00782D0A">
        <w:rPr>
          <w:rFonts w:ascii="Calibri" w:eastAsia="Calibri" w:hAnsi="Calibri" w:cs="Times New Roman"/>
          <w:sz w:val="28"/>
          <w:lang w:eastAsia="en-US" w:bidi="ar-SA"/>
        </w:rPr>
        <w:t>______________________</w:t>
      </w:r>
      <w:r w:rsidRPr="00782D0A">
        <w:rPr>
          <w:rFonts w:ascii="Calibri" w:eastAsia="Calibri" w:hAnsi="Calibri" w:cs="Times New Roman"/>
          <w:sz w:val="28"/>
          <w:lang w:eastAsia="en-US" w:bidi="ar-SA"/>
        </w:rPr>
        <w:tab/>
      </w:r>
      <w:r w:rsidRPr="00782D0A">
        <w:rPr>
          <w:rFonts w:ascii="Calibri" w:eastAsia="Calibri" w:hAnsi="Calibri" w:cs="Times New Roman"/>
          <w:sz w:val="28"/>
          <w:lang w:eastAsia="en-US" w:bidi="ar-SA"/>
        </w:rPr>
        <w:tab/>
      </w:r>
      <w:r w:rsidRPr="00782D0A">
        <w:rPr>
          <w:rFonts w:ascii="Calibri" w:eastAsia="Calibri" w:hAnsi="Calibri" w:cs="Times New Roman"/>
          <w:sz w:val="28"/>
          <w:lang w:eastAsia="en-US" w:bidi="ar-SA"/>
        </w:rPr>
        <w:tab/>
      </w:r>
      <w:r w:rsidRPr="00782D0A">
        <w:rPr>
          <w:rFonts w:ascii="Calibri" w:eastAsia="Calibri" w:hAnsi="Calibri" w:cs="Times New Roman"/>
          <w:sz w:val="28"/>
          <w:lang w:eastAsia="en-US" w:bidi="ar-SA"/>
        </w:rPr>
        <w:tab/>
        <w:t xml:space="preserve">  __________________________</w:t>
      </w:r>
    </w:p>
    <w:p w14:paraId="4DDBEF00" w14:textId="77777777" w:rsidR="00782D0A" w:rsidRDefault="00782D0A" w:rsidP="00782D0A">
      <w:pPr>
        <w:tabs>
          <w:tab w:val="left" w:pos="1214"/>
        </w:tabs>
        <w:spacing w:before="3" w:line="232" w:lineRule="auto"/>
        <w:ind w:left="426" w:right="149"/>
        <w:jc w:val="both"/>
        <w:rPr>
          <w:rFonts w:asciiTheme="minorHAnsi" w:eastAsiaTheme="minorHAnsi" w:hAnsiTheme="minorHAnsi" w:cstheme="minorHAnsi"/>
          <w:lang w:eastAsia="en-US" w:bidi="ar-SA"/>
        </w:rPr>
      </w:pPr>
    </w:p>
    <w:p w14:paraId="3461D779" w14:textId="77777777" w:rsidR="007B6F58" w:rsidRDefault="007B6F58">
      <w:pPr>
        <w:tabs>
          <w:tab w:val="left" w:pos="1549"/>
          <w:tab w:val="left" w:pos="5094"/>
          <w:tab w:val="left" w:pos="5798"/>
          <w:tab w:val="left" w:pos="9811"/>
        </w:tabs>
        <w:spacing w:before="101"/>
        <w:ind w:left="132"/>
      </w:pPr>
    </w:p>
    <w:sectPr w:rsidR="007B6F58">
      <w:headerReference w:type="default" r:id="rId10"/>
      <w:footerReference w:type="default" r:id="rId11"/>
      <w:pgSz w:w="11900" w:h="16850"/>
      <w:pgMar w:top="1320" w:right="980" w:bottom="1240" w:left="1000" w:header="0" w:footer="10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E530F" w14:textId="77777777" w:rsidR="000A0E01" w:rsidRDefault="000A0E01">
      <w:r>
        <w:separator/>
      </w:r>
    </w:p>
  </w:endnote>
  <w:endnote w:type="continuationSeparator" w:id="0">
    <w:p w14:paraId="79B63929" w14:textId="77777777" w:rsidR="000A0E01" w:rsidRDefault="000A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334192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CCB4B5A" w14:textId="323748AB" w:rsidR="00155F5E" w:rsidRDefault="00155F5E" w:rsidP="00155F5E">
            <w:pPr>
              <w:pStyle w:val="Pidipagina"/>
              <w:jc w:val="right"/>
            </w:pPr>
            <w:r w:rsidRPr="00155F5E">
              <w:rPr>
                <w:rFonts w:asciiTheme="minorHAnsi" w:hAnsiTheme="minorHAnsi" w:cstheme="minorHAnsi"/>
                <w:sz w:val="16"/>
                <w:szCs w:val="16"/>
              </w:rPr>
              <w:t xml:space="preserve">Pag. </w:t>
            </w:r>
            <w:r w:rsidRPr="00155F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155F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155F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155F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155F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155F5E">
              <w:rPr>
                <w:rFonts w:asciiTheme="minorHAnsi" w:hAnsiTheme="minorHAnsi" w:cstheme="minorHAnsi"/>
                <w:sz w:val="16"/>
                <w:szCs w:val="16"/>
              </w:rPr>
              <w:t xml:space="preserve"> a </w:t>
            </w:r>
            <w:r w:rsidRPr="00155F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155F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155F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155F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155F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F2D8B6" w14:textId="77777777" w:rsidR="007B6F58" w:rsidRDefault="007B6F58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DA80C" w14:textId="77777777" w:rsidR="000A0E01" w:rsidRDefault="000A0E01">
      <w:r>
        <w:separator/>
      </w:r>
    </w:p>
  </w:footnote>
  <w:footnote w:type="continuationSeparator" w:id="0">
    <w:p w14:paraId="709186E5" w14:textId="77777777" w:rsidR="000A0E01" w:rsidRDefault="000A0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78278" w14:textId="77777777" w:rsidR="00E248EA" w:rsidRDefault="00E248EA" w:rsidP="00E248EA">
    <w:pPr>
      <w:pStyle w:val="Intestazione"/>
      <w:jc w:val="center"/>
      <w:rPr>
        <w:noProof/>
      </w:rPr>
    </w:pPr>
  </w:p>
  <w:p w14:paraId="1FC39945" w14:textId="77777777" w:rsidR="00E248EA" w:rsidRDefault="00E248EA" w:rsidP="00E248EA">
    <w:pPr>
      <w:pStyle w:val="Intestazione"/>
      <w:jc w:val="center"/>
      <w:rPr>
        <w:noProof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307"/>
      <w:gridCol w:w="3307"/>
      <w:gridCol w:w="3307"/>
    </w:tblGrid>
    <w:tr w:rsidR="1E248C56" w14:paraId="12CF526F" w14:textId="77777777" w:rsidTr="00155F5E">
      <w:tc>
        <w:tcPr>
          <w:tcW w:w="3307" w:type="dxa"/>
        </w:tcPr>
        <w:p w14:paraId="4ACAF455" w14:textId="65B81104" w:rsidR="1E248C56" w:rsidRDefault="1E248C56" w:rsidP="1E248C56">
          <w:pPr>
            <w:jc w:val="center"/>
            <w:rPr>
              <w:rFonts w:ascii="Calibri" w:eastAsia="Calibri" w:hAnsi="Calibri" w:cs="Calibri"/>
            </w:rPr>
          </w:pPr>
          <w:r>
            <w:rPr>
              <w:noProof/>
            </w:rPr>
            <w:drawing>
              <wp:inline distT="0" distB="0" distL="0" distR="0" wp14:anchorId="4F236071" wp14:editId="272750AF">
                <wp:extent cx="714375" cy="771525"/>
                <wp:effectExtent l="0" t="0" r="0" b="0"/>
                <wp:docPr id="1098206185" name="Immagine 10982061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7" w:type="dxa"/>
        </w:tcPr>
        <w:p w14:paraId="6FAEF843" w14:textId="6802BC49" w:rsidR="1E248C56" w:rsidRDefault="1E248C56" w:rsidP="1E248C56">
          <w:pPr>
            <w:jc w:val="center"/>
            <w:rPr>
              <w:rFonts w:ascii="Calibri" w:eastAsia="Calibri" w:hAnsi="Calibri" w:cs="Calibri"/>
            </w:rPr>
          </w:pPr>
        </w:p>
        <w:p w14:paraId="4575B884" w14:textId="7371A990" w:rsidR="1E248C56" w:rsidRDefault="1E248C56" w:rsidP="1E248C56">
          <w:pPr>
            <w:jc w:val="center"/>
            <w:rPr>
              <w:rFonts w:ascii="Calibri" w:eastAsia="Calibri" w:hAnsi="Calibri" w:cs="Calibri"/>
            </w:rPr>
          </w:pPr>
          <w:r w:rsidRPr="1E248C56">
            <w:rPr>
              <w:rFonts w:ascii="Calibri" w:eastAsia="Calibri" w:hAnsi="Calibri" w:cs="Calibri"/>
              <w:b/>
              <w:bCs/>
            </w:rPr>
            <w:t>CONSENSO INFORMATO ESAME ECOCOLORDOPPLER PENIENO DINAMICO</w:t>
          </w:r>
        </w:p>
      </w:tc>
      <w:tc>
        <w:tcPr>
          <w:tcW w:w="3307" w:type="dxa"/>
        </w:tcPr>
        <w:p w14:paraId="3E6167B6" w14:textId="3EA64EBA" w:rsidR="1E248C56" w:rsidRDefault="1E248C56" w:rsidP="1E248C56">
          <w:pPr>
            <w:rPr>
              <w:rFonts w:ascii="Calibri" w:eastAsia="Calibri" w:hAnsi="Calibri" w:cs="Calibri"/>
              <w:sz w:val="16"/>
              <w:szCs w:val="16"/>
            </w:rPr>
          </w:pPr>
          <w:r w:rsidRPr="1E248C56">
            <w:rPr>
              <w:rFonts w:ascii="Calibri" w:eastAsia="Calibri" w:hAnsi="Calibri" w:cs="Calibri"/>
              <w:sz w:val="16"/>
              <w:szCs w:val="16"/>
            </w:rPr>
            <w:t>All. 50 PG 13</w:t>
          </w:r>
        </w:p>
        <w:p w14:paraId="11CE1EDA" w14:textId="259D83D9" w:rsidR="1E248C56" w:rsidRDefault="1E248C56" w:rsidP="1E248C56">
          <w:pPr>
            <w:rPr>
              <w:rFonts w:ascii="Calibri" w:eastAsia="Calibri" w:hAnsi="Calibri" w:cs="Calibri"/>
              <w:sz w:val="16"/>
              <w:szCs w:val="16"/>
            </w:rPr>
          </w:pPr>
          <w:r w:rsidRPr="1E248C56">
            <w:rPr>
              <w:rFonts w:ascii="Calibri" w:eastAsia="Calibri" w:hAnsi="Calibri" w:cs="Calibri"/>
              <w:sz w:val="16"/>
              <w:szCs w:val="16"/>
            </w:rPr>
            <w:t>Redatto da: GL</w:t>
          </w:r>
        </w:p>
        <w:p w14:paraId="64FDFDC5" w14:textId="47027E9C" w:rsidR="1E248C56" w:rsidRDefault="1E248C56" w:rsidP="1E248C56">
          <w:pPr>
            <w:rPr>
              <w:rFonts w:ascii="Calibri" w:eastAsia="Calibri" w:hAnsi="Calibri" w:cs="Calibri"/>
              <w:sz w:val="16"/>
              <w:szCs w:val="16"/>
            </w:rPr>
          </w:pPr>
          <w:r w:rsidRPr="1E248C56">
            <w:rPr>
              <w:rFonts w:ascii="Calibri" w:eastAsia="Calibri" w:hAnsi="Calibri" w:cs="Calibri"/>
              <w:sz w:val="16"/>
              <w:szCs w:val="16"/>
            </w:rPr>
            <w:t>Verificato da: RGQ</w:t>
          </w:r>
        </w:p>
        <w:p w14:paraId="46345DE5" w14:textId="62850572" w:rsidR="1E248C56" w:rsidRDefault="1E248C56" w:rsidP="1E248C56">
          <w:pPr>
            <w:rPr>
              <w:rFonts w:ascii="Calibri" w:eastAsia="Calibri" w:hAnsi="Calibri" w:cs="Calibri"/>
              <w:sz w:val="16"/>
              <w:szCs w:val="16"/>
            </w:rPr>
          </w:pPr>
          <w:r w:rsidRPr="1E248C56">
            <w:rPr>
              <w:rFonts w:ascii="Calibri" w:eastAsia="Calibri" w:hAnsi="Calibri" w:cs="Calibri"/>
              <w:sz w:val="16"/>
              <w:szCs w:val="16"/>
            </w:rPr>
            <w:t>Approvato da: DIR</w:t>
          </w:r>
        </w:p>
        <w:p w14:paraId="72873F1B" w14:textId="0DB4E7C6" w:rsidR="1E248C56" w:rsidRDefault="1E248C56" w:rsidP="1E248C56">
          <w:pPr>
            <w:rPr>
              <w:rFonts w:ascii="Calibri" w:eastAsia="Calibri" w:hAnsi="Calibri" w:cs="Calibri"/>
              <w:sz w:val="16"/>
              <w:szCs w:val="16"/>
            </w:rPr>
          </w:pPr>
          <w:r w:rsidRPr="1E248C56">
            <w:rPr>
              <w:rFonts w:ascii="Calibri" w:eastAsia="Calibri" w:hAnsi="Calibri" w:cs="Calibri"/>
              <w:sz w:val="16"/>
              <w:szCs w:val="16"/>
            </w:rPr>
            <w:t>Edizione: 01 - Revisione: 00</w:t>
          </w:r>
        </w:p>
        <w:p w14:paraId="5CFFA924" w14:textId="77721101" w:rsidR="1E248C56" w:rsidRDefault="1E248C56" w:rsidP="1E248C56">
          <w:pPr>
            <w:rPr>
              <w:rFonts w:ascii="Calibri" w:eastAsia="Calibri" w:hAnsi="Calibri" w:cs="Calibri"/>
              <w:sz w:val="16"/>
              <w:szCs w:val="16"/>
            </w:rPr>
          </w:pPr>
          <w:r w:rsidRPr="1E248C56">
            <w:rPr>
              <w:rFonts w:ascii="Calibri" w:eastAsia="Calibri" w:hAnsi="Calibri" w:cs="Calibri"/>
              <w:sz w:val="16"/>
              <w:szCs w:val="16"/>
            </w:rPr>
            <w:t>Data di emissione: 04/11/2019</w:t>
          </w:r>
        </w:p>
        <w:p w14:paraId="11BD31FC" w14:textId="03872E68" w:rsidR="1E248C56" w:rsidRDefault="1E248C56" w:rsidP="1E248C56">
          <w:pPr>
            <w:rPr>
              <w:rFonts w:ascii="Calibri" w:eastAsia="Calibri" w:hAnsi="Calibri" w:cs="Calibri"/>
              <w:sz w:val="16"/>
              <w:szCs w:val="16"/>
            </w:rPr>
          </w:pPr>
        </w:p>
      </w:tc>
    </w:tr>
  </w:tbl>
  <w:p w14:paraId="34CE0A41" w14:textId="77777777" w:rsidR="00301442" w:rsidRDefault="00301442" w:rsidP="00E248E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E75A8B"/>
    <w:multiLevelType w:val="hybridMultilevel"/>
    <w:tmpl w:val="B72EF610"/>
    <w:lvl w:ilvl="0" w:tplc="90548D26">
      <w:start w:val="1"/>
      <w:numFmt w:val="decimal"/>
      <w:lvlText w:val="%1."/>
      <w:lvlJc w:val="left"/>
      <w:pPr>
        <w:ind w:left="644" w:hanging="360"/>
        <w:jc w:val="left"/>
      </w:pPr>
      <w:rPr>
        <w:rFonts w:asciiTheme="minorHAnsi" w:eastAsia="Tahoma" w:hAnsiTheme="minorHAnsi" w:cstheme="minorHAnsi"/>
        <w:spacing w:val="-2"/>
        <w:w w:val="100"/>
        <w:sz w:val="24"/>
        <w:szCs w:val="24"/>
        <w:lang w:val="it-IT" w:eastAsia="it-IT" w:bidi="it-IT"/>
      </w:rPr>
    </w:lvl>
    <w:lvl w:ilvl="1" w:tplc="24CE687C">
      <w:numFmt w:val="bullet"/>
      <w:lvlText w:val="✓"/>
      <w:lvlJc w:val="left"/>
      <w:pPr>
        <w:ind w:left="1004" w:hanging="360"/>
      </w:pPr>
      <w:rPr>
        <w:rFonts w:ascii="MS UI Gothic" w:eastAsia="MS UI Gothic" w:hAnsi="MS UI Gothic" w:cs="MS UI Gothic" w:hint="default"/>
        <w:spacing w:val="-27"/>
        <w:w w:val="96"/>
        <w:sz w:val="24"/>
        <w:szCs w:val="24"/>
        <w:lang w:val="it-IT" w:eastAsia="it-IT" w:bidi="it-IT"/>
      </w:rPr>
    </w:lvl>
    <w:lvl w:ilvl="2" w:tplc="BB5EAB6A">
      <w:numFmt w:val="bullet"/>
      <w:lvlText w:val="•"/>
      <w:lvlJc w:val="left"/>
      <w:pPr>
        <w:ind w:left="1977" w:hanging="360"/>
      </w:pPr>
      <w:rPr>
        <w:rFonts w:hint="default"/>
        <w:lang w:val="it-IT" w:eastAsia="it-IT" w:bidi="it-IT"/>
      </w:rPr>
    </w:lvl>
    <w:lvl w:ilvl="3" w:tplc="9AA07086">
      <w:numFmt w:val="bullet"/>
      <w:lvlText w:val="•"/>
      <w:lvlJc w:val="left"/>
      <w:pPr>
        <w:ind w:left="2944" w:hanging="360"/>
      </w:pPr>
      <w:rPr>
        <w:rFonts w:hint="default"/>
        <w:lang w:val="it-IT" w:eastAsia="it-IT" w:bidi="it-IT"/>
      </w:rPr>
    </w:lvl>
    <w:lvl w:ilvl="4" w:tplc="4492F3A0">
      <w:numFmt w:val="bullet"/>
      <w:lvlText w:val="•"/>
      <w:lvlJc w:val="left"/>
      <w:pPr>
        <w:ind w:left="3910" w:hanging="360"/>
      </w:pPr>
      <w:rPr>
        <w:rFonts w:hint="default"/>
        <w:lang w:val="it-IT" w:eastAsia="it-IT" w:bidi="it-IT"/>
      </w:rPr>
    </w:lvl>
    <w:lvl w:ilvl="5" w:tplc="016AA734">
      <w:numFmt w:val="bullet"/>
      <w:lvlText w:val="•"/>
      <w:lvlJc w:val="left"/>
      <w:pPr>
        <w:ind w:left="4877" w:hanging="360"/>
      </w:pPr>
      <w:rPr>
        <w:rFonts w:hint="default"/>
        <w:lang w:val="it-IT" w:eastAsia="it-IT" w:bidi="it-IT"/>
      </w:rPr>
    </w:lvl>
    <w:lvl w:ilvl="6" w:tplc="F62C91CC">
      <w:numFmt w:val="bullet"/>
      <w:lvlText w:val="•"/>
      <w:lvlJc w:val="left"/>
      <w:pPr>
        <w:ind w:left="5843" w:hanging="360"/>
      </w:pPr>
      <w:rPr>
        <w:rFonts w:hint="default"/>
        <w:lang w:val="it-IT" w:eastAsia="it-IT" w:bidi="it-IT"/>
      </w:rPr>
    </w:lvl>
    <w:lvl w:ilvl="7" w:tplc="A8880724">
      <w:numFmt w:val="bullet"/>
      <w:lvlText w:val="•"/>
      <w:lvlJc w:val="left"/>
      <w:pPr>
        <w:ind w:left="6810" w:hanging="360"/>
      </w:pPr>
      <w:rPr>
        <w:rFonts w:hint="default"/>
        <w:lang w:val="it-IT" w:eastAsia="it-IT" w:bidi="it-IT"/>
      </w:rPr>
    </w:lvl>
    <w:lvl w:ilvl="8" w:tplc="5D48230C">
      <w:numFmt w:val="bullet"/>
      <w:lvlText w:val="•"/>
      <w:lvlJc w:val="left"/>
      <w:pPr>
        <w:ind w:left="7777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6BFF549F"/>
    <w:multiLevelType w:val="hybridMultilevel"/>
    <w:tmpl w:val="237EEEC4"/>
    <w:lvl w:ilvl="0" w:tplc="6A50089C">
      <w:numFmt w:val="bullet"/>
      <w:lvlText w:val=""/>
      <w:lvlJc w:val="left"/>
      <w:pPr>
        <w:ind w:left="121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8AD0BC20">
      <w:numFmt w:val="bullet"/>
      <w:lvlText w:val="•"/>
      <w:lvlJc w:val="left"/>
      <w:pPr>
        <w:ind w:left="2089" w:hanging="360"/>
      </w:pPr>
      <w:rPr>
        <w:rFonts w:hint="default"/>
        <w:lang w:val="it-IT" w:eastAsia="it-IT" w:bidi="it-IT"/>
      </w:rPr>
    </w:lvl>
    <w:lvl w:ilvl="2" w:tplc="974A5CE8">
      <w:numFmt w:val="bullet"/>
      <w:lvlText w:val="•"/>
      <w:lvlJc w:val="left"/>
      <w:pPr>
        <w:ind w:left="2959" w:hanging="360"/>
      </w:pPr>
      <w:rPr>
        <w:rFonts w:hint="default"/>
        <w:lang w:val="it-IT" w:eastAsia="it-IT" w:bidi="it-IT"/>
      </w:rPr>
    </w:lvl>
    <w:lvl w:ilvl="3" w:tplc="92869FC6">
      <w:numFmt w:val="bullet"/>
      <w:lvlText w:val="•"/>
      <w:lvlJc w:val="left"/>
      <w:pPr>
        <w:ind w:left="3829" w:hanging="360"/>
      </w:pPr>
      <w:rPr>
        <w:rFonts w:hint="default"/>
        <w:lang w:val="it-IT" w:eastAsia="it-IT" w:bidi="it-IT"/>
      </w:rPr>
    </w:lvl>
    <w:lvl w:ilvl="4" w:tplc="EC2A9828">
      <w:numFmt w:val="bullet"/>
      <w:lvlText w:val="•"/>
      <w:lvlJc w:val="left"/>
      <w:pPr>
        <w:ind w:left="4699" w:hanging="360"/>
      </w:pPr>
      <w:rPr>
        <w:rFonts w:hint="default"/>
        <w:lang w:val="it-IT" w:eastAsia="it-IT" w:bidi="it-IT"/>
      </w:rPr>
    </w:lvl>
    <w:lvl w:ilvl="5" w:tplc="B9F4509A">
      <w:numFmt w:val="bullet"/>
      <w:lvlText w:val="•"/>
      <w:lvlJc w:val="left"/>
      <w:pPr>
        <w:ind w:left="5569" w:hanging="360"/>
      </w:pPr>
      <w:rPr>
        <w:rFonts w:hint="default"/>
        <w:lang w:val="it-IT" w:eastAsia="it-IT" w:bidi="it-IT"/>
      </w:rPr>
    </w:lvl>
    <w:lvl w:ilvl="6" w:tplc="95BE3A48">
      <w:numFmt w:val="bullet"/>
      <w:lvlText w:val="•"/>
      <w:lvlJc w:val="left"/>
      <w:pPr>
        <w:ind w:left="6439" w:hanging="360"/>
      </w:pPr>
      <w:rPr>
        <w:rFonts w:hint="default"/>
        <w:lang w:val="it-IT" w:eastAsia="it-IT" w:bidi="it-IT"/>
      </w:rPr>
    </w:lvl>
    <w:lvl w:ilvl="7" w:tplc="56E294EC">
      <w:numFmt w:val="bullet"/>
      <w:lvlText w:val="•"/>
      <w:lvlJc w:val="left"/>
      <w:pPr>
        <w:ind w:left="7309" w:hanging="360"/>
      </w:pPr>
      <w:rPr>
        <w:rFonts w:hint="default"/>
        <w:lang w:val="it-IT" w:eastAsia="it-IT" w:bidi="it-IT"/>
      </w:rPr>
    </w:lvl>
    <w:lvl w:ilvl="8" w:tplc="8F006266">
      <w:numFmt w:val="bullet"/>
      <w:lvlText w:val="•"/>
      <w:lvlJc w:val="left"/>
      <w:pPr>
        <w:ind w:left="8179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58"/>
    <w:rsid w:val="000A0E01"/>
    <w:rsid w:val="00155F5E"/>
    <w:rsid w:val="00301442"/>
    <w:rsid w:val="003F336E"/>
    <w:rsid w:val="003F5A89"/>
    <w:rsid w:val="005B5C1E"/>
    <w:rsid w:val="006D78AB"/>
    <w:rsid w:val="00782D0A"/>
    <w:rsid w:val="007B6F58"/>
    <w:rsid w:val="00B26713"/>
    <w:rsid w:val="00D01034"/>
    <w:rsid w:val="00D04D46"/>
    <w:rsid w:val="00E248EA"/>
    <w:rsid w:val="1E248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89B1F"/>
  <w15:docId w15:val="{B1AEEB56-8144-4677-B260-6E2F88F3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E248EA"/>
    <w:pPr>
      <w:spacing w:before="56"/>
      <w:ind w:left="312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13" w:right="15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248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48EA"/>
    <w:rPr>
      <w:rFonts w:ascii="Tahoma" w:eastAsia="Tahoma" w:hAnsi="Tahoma" w:cs="Tahom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248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48EA"/>
    <w:rPr>
      <w:rFonts w:ascii="Tahoma" w:eastAsia="Tahoma" w:hAnsi="Tahoma" w:cs="Tahoma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248EA"/>
    <w:rPr>
      <w:rFonts w:ascii="Calibri" w:eastAsia="Calibri" w:hAnsi="Calibri" w:cs="Calibri"/>
      <w:b/>
      <w:bCs/>
      <w:lang w:val="it-IT" w:eastAsia="it-IT" w:bidi="it-IT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E15364575B1344A5CE20674CA740B5" ma:contentTypeVersion="6" ma:contentTypeDescription="Creare un nuovo documento." ma:contentTypeScope="" ma:versionID="8b5650726974f00f8cc6a0653188fff5">
  <xsd:schema xmlns:xsd="http://www.w3.org/2001/XMLSchema" xmlns:xs="http://www.w3.org/2001/XMLSchema" xmlns:p="http://schemas.microsoft.com/office/2006/metadata/properties" xmlns:ns2="df8c7b99-8986-4098-a195-7938f35bf14c" xmlns:ns3="50fa26bb-0001-403c-ae8a-c35afd84d08d" targetNamespace="http://schemas.microsoft.com/office/2006/metadata/properties" ma:root="true" ma:fieldsID="3b04e01e17fc1b024420730d4c35d3e9" ns2:_="" ns3:_="">
    <xsd:import namespace="df8c7b99-8986-4098-a195-7938f35bf14c"/>
    <xsd:import namespace="50fa26bb-0001-403c-ae8a-c35afd84d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c7b99-8986-4098-a195-7938f35bf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a26bb-0001-403c-ae8a-c35afd84d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B329FE-1917-4CB5-8DDD-026D6E4AE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c7b99-8986-4098-a195-7938f35bf14c"/>
    <ds:schemaRef ds:uri="50fa26bb-0001-403c-ae8a-c35afd84d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71A0AE-3E07-46DE-9FA1-8CA90E53A0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5C9D12-28E8-4026-833E-ED626EA848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Renata Barbaro</cp:lastModifiedBy>
  <cp:revision>5</cp:revision>
  <dcterms:created xsi:type="dcterms:W3CDTF">2019-02-12T09:56:00Z</dcterms:created>
  <dcterms:modified xsi:type="dcterms:W3CDTF">2021-05-18T08:48:00Z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2019-02-12T00:00:00Z</vt:filetime>
  </property>
  <property fmtid="{D5CDD505-2E9C-101B-9397-08002B2CF9AE}" pid="5" name="ContentTypeId">
    <vt:lpwstr>0x01010081E15364575B1344A5CE20674CA740B5</vt:lpwstr>
  </property>
</Properties>
</file>