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B67C" w14:textId="43C83696" w:rsidR="005B7422" w:rsidRPr="00FE7B0D" w:rsidRDefault="005B7422" w:rsidP="005B7422">
      <w:pPr>
        <w:pStyle w:val="Corpotesto"/>
        <w:tabs>
          <w:tab w:val="left" w:pos="3944"/>
        </w:tabs>
        <w:spacing w:before="1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Reggio Emilia, ____________</w:t>
      </w:r>
    </w:p>
    <w:p w14:paraId="6D367880" w14:textId="68E3562A" w:rsidR="000A2D32" w:rsidRPr="00C121EE" w:rsidRDefault="000A2D32" w:rsidP="005D6D95">
      <w:pPr>
        <w:pStyle w:val="Corpotesto"/>
        <w:spacing w:before="57"/>
        <w:ind w:left="145" w:hanging="145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C121EE">
        <w:rPr>
          <w:rFonts w:ascii="Calibri" w:eastAsia="Calibri" w:hAnsi="Calibri" w:cs="Calibri"/>
          <w:noProof/>
          <w:sz w:val="22"/>
          <w:szCs w:val="22"/>
          <w:lang w:bidi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B2AC8F" wp14:editId="6892B1A7">
                <wp:simplePos x="0" y="0"/>
                <wp:positionH relativeFrom="page">
                  <wp:posOffset>1316990</wp:posOffset>
                </wp:positionH>
                <wp:positionV relativeFrom="paragraph">
                  <wp:posOffset>189230</wp:posOffset>
                </wp:positionV>
                <wp:extent cx="1460500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5F263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7pt,14.9pt" to="218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" strokeweight=".25292mm">
                <o:lock v:ext="edit" shapetype="f"/>
                <w10:wrap anchorx="page"/>
              </v:line>
            </w:pict>
          </mc:Fallback>
        </mc:AlternateContent>
      </w:r>
      <w:r w:rsidRPr="00C121EE">
        <w:rPr>
          <w:rFonts w:ascii="Calibri" w:eastAsia="Calibri" w:hAnsi="Calibri" w:cs="Calibri"/>
          <w:sz w:val="22"/>
          <w:szCs w:val="22"/>
          <w:lang w:bidi="it-IT"/>
        </w:rPr>
        <w:t>Sig./ra</w:t>
      </w:r>
    </w:p>
    <w:p w14:paraId="6297CBE2" w14:textId="77777777" w:rsidR="005B7422" w:rsidRDefault="005B7422" w:rsidP="005D6D95">
      <w:pPr>
        <w:pStyle w:val="Corpotesto"/>
        <w:spacing w:before="57"/>
        <w:ind w:left="145" w:hanging="145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38AC524B" w14:textId="77777777" w:rsidR="00C43A28" w:rsidRDefault="00C43A28" w:rsidP="005D6D95">
      <w:pPr>
        <w:pStyle w:val="Corpotesto"/>
        <w:spacing w:before="57"/>
        <w:ind w:left="145" w:hanging="145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3851186F" w14:textId="4D4A5BB0" w:rsidR="000A2D32" w:rsidRPr="003F55A3" w:rsidRDefault="000A2D32" w:rsidP="005D6D95">
      <w:pPr>
        <w:pStyle w:val="Corpotesto"/>
        <w:spacing w:before="57"/>
        <w:ind w:left="145" w:hanging="145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3F55A3">
        <w:rPr>
          <w:rFonts w:ascii="Calibri" w:eastAsia="Calibri" w:hAnsi="Calibri" w:cs="Calibri"/>
          <w:sz w:val="22"/>
          <w:szCs w:val="22"/>
          <w:lang w:bidi="it-IT"/>
        </w:rPr>
        <w:t>Gentile Paziente,</w:t>
      </w:r>
    </w:p>
    <w:p w14:paraId="548955F0" w14:textId="77777777" w:rsidR="000A2D32" w:rsidRPr="003F55A3" w:rsidRDefault="000A2D32" w:rsidP="005D6D95">
      <w:pPr>
        <w:pStyle w:val="Corpotesto"/>
        <w:spacing w:line="240" w:lineRule="auto"/>
        <w:ind w:right="108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3F55A3">
        <w:rPr>
          <w:rFonts w:ascii="Calibri" w:eastAsia="Calibri" w:hAnsi="Calibri" w:cs="Calibri"/>
          <w:sz w:val="22"/>
          <w:szCs w:val="22"/>
          <w:lang w:bidi="it-IT"/>
        </w:rPr>
        <w:t>in questo modulo vengono riassunti i concetti a Lei già espressi verbalmente, precisandoli e definendoli nelle loro linee essenziali, in modo da avere anche per iscritto il Suo assenso all’esecuzione dell’esame prescritto e concordato.</w:t>
      </w:r>
    </w:p>
    <w:p w14:paraId="4BF7FD5A" w14:textId="77777777" w:rsidR="009C00E4" w:rsidRDefault="009C00E4" w:rsidP="009C00E4">
      <w:pPr>
        <w:spacing w:line="276" w:lineRule="auto"/>
        <w:jc w:val="both"/>
        <w:rPr>
          <w:rFonts w:ascii="Calibri" w:hAnsi="Calibri" w:cs="Calibri"/>
          <w:b/>
          <w:lang w:eastAsia="ja-JP"/>
        </w:rPr>
      </w:pPr>
    </w:p>
    <w:p w14:paraId="03BF4E73" w14:textId="77777777" w:rsidR="009C00E4" w:rsidRDefault="009C00E4" w:rsidP="005B7422">
      <w:pPr>
        <w:spacing w:line="276" w:lineRule="auto"/>
        <w:jc w:val="both"/>
        <w:rPr>
          <w:rFonts w:ascii="Calibri" w:hAnsi="Calibri" w:cs="Calibri"/>
          <w:b/>
          <w:lang w:eastAsia="ja-JP"/>
        </w:rPr>
      </w:pPr>
      <w:r>
        <w:rPr>
          <w:rFonts w:ascii="Calibri" w:hAnsi="Calibri" w:cs="Calibri"/>
          <w:b/>
          <w:lang w:eastAsia="ja-JP"/>
        </w:rPr>
        <w:t>INFORMAZIONI</w:t>
      </w:r>
      <w:r w:rsidR="008E26F9" w:rsidRPr="008E26F9">
        <w:rPr>
          <w:rFonts w:ascii="Calibri" w:hAnsi="Calibri" w:cs="Calibri"/>
          <w:b/>
          <w:lang w:eastAsia="ja-JP"/>
        </w:rPr>
        <w:t xml:space="preserve"> GENERALI:</w:t>
      </w:r>
    </w:p>
    <w:p w14:paraId="73EFB912" w14:textId="276A78BC" w:rsidR="003F55A3" w:rsidRDefault="003F55A3" w:rsidP="005D6D9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La colonscopia è un esame diagnostico e/o terapeutico che consente al medico di esplorare e visualizzare la mucosa del retto e del colon, in precedenza opportunamente pulito per mezzo di un’adeguata preparazione intestinale.  In base alle indicazioni la colonscopia può essere condotta per esplorare il grosso intestino solo parzialmente (es: rettoscopia, rettosigmoidoscopia, ecc..) o fino a visualizzare il fondo ciecale (colo</w:t>
      </w:r>
      <w:r w:rsidR="001A6F69">
        <w:rPr>
          <w:rFonts w:ascii="Calibri" w:eastAsia="Calibri" w:hAnsi="Calibri" w:cs="Calibri"/>
          <w:sz w:val="22"/>
          <w:szCs w:val="22"/>
          <w:lang w:bidi="it-IT"/>
        </w:rPr>
        <w:t>n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scopia totale o pancolonscopia). Nel corso dell’esame, qualora vi sia indicazione, è possibile </w:t>
      </w:r>
      <w:r w:rsidR="00A30258">
        <w:rPr>
          <w:rFonts w:ascii="Calibri" w:eastAsia="Calibri" w:hAnsi="Calibri" w:cs="Calibri"/>
          <w:sz w:val="22"/>
          <w:szCs w:val="22"/>
          <w:lang w:bidi="it-IT"/>
        </w:rPr>
        <w:t xml:space="preserve">visualizzare ed analizzare 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>anche l’ileo terminale</w:t>
      </w:r>
      <w:r w:rsidR="001A6F69">
        <w:rPr>
          <w:rFonts w:ascii="Calibri" w:eastAsia="Calibri" w:hAnsi="Calibri" w:cs="Calibri"/>
          <w:sz w:val="22"/>
          <w:szCs w:val="22"/>
          <w:lang w:bidi="it-IT"/>
        </w:rPr>
        <w:t>, prelevare piccoli frammenti di mucosa (biopsie) per esame istologico ed effettuare procedure aggiuntive, diagnostiche o terapeutiche.</w:t>
      </w:r>
    </w:p>
    <w:p w14:paraId="3AA69AD7" w14:textId="248EFC14" w:rsidR="0032641F" w:rsidRDefault="0032641F" w:rsidP="005D6D9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10B4E15D" w14:textId="77777777" w:rsidR="0032641F" w:rsidRPr="009C00E4" w:rsidRDefault="0032641F" w:rsidP="0032641F">
      <w:pPr>
        <w:spacing w:line="276" w:lineRule="auto"/>
        <w:jc w:val="both"/>
        <w:rPr>
          <w:rFonts w:ascii="Calibri" w:hAnsi="Calibri" w:cs="Calibri"/>
          <w:b/>
          <w:lang w:eastAsia="ja-JP"/>
        </w:rPr>
      </w:pPr>
      <w:r w:rsidRPr="009C00E4">
        <w:rPr>
          <w:rFonts w:ascii="Calibri" w:hAnsi="Calibri" w:cs="Calibri"/>
          <w:b/>
          <w:lang w:eastAsia="ja-JP"/>
        </w:rPr>
        <w:t>PREPARAZIONE ALL’ESAME</w:t>
      </w:r>
      <w:r>
        <w:rPr>
          <w:rFonts w:ascii="Calibri" w:hAnsi="Calibri" w:cs="Calibri"/>
          <w:b/>
          <w:lang w:eastAsia="ja-JP"/>
        </w:rPr>
        <w:t>:</w:t>
      </w:r>
    </w:p>
    <w:p w14:paraId="06367A0A" w14:textId="77777777" w:rsidR="0032641F" w:rsidRPr="00FE7B0D" w:rsidRDefault="0032641F" w:rsidP="0032641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La colonscopia deve essere preceduta da un’adeguata preparazione poiché l’intestino può essere valutato accuratamente solo in assenza di feci. È importante attenersi scrupolosamente alle indicazioni che sono state fornire per la pulizia dell’intestino, in caso contrario l’esame potrebbe non essere completato.</w:t>
      </w:r>
    </w:p>
    <w:p w14:paraId="2F1BDE31" w14:textId="77777777" w:rsidR="003F55A3" w:rsidRDefault="003F55A3" w:rsidP="005D6D95">
      <w:pPr>
        <w:spacing w:line="276" w:lineRule="auto"/>
        <w:ind w:hanging="142"/>
        <w:jc w:val="both"/>
        <w:rPr>
          <w:rFonts w:ascii="Calibri" w:hAnsi="Calibri" w:cs="Calibri"/>
          <w:b/>
          <w:lang w:eastAsia="ja-JP"/>
        </w:rPr>
      </w:pPr>
    </w:p>
    <w:p w14:paraId="15CEB05D" w14:textId="77777777" w:rsidR="00A30258" w:rsidRPr="009C00E4" w:rsidRDefault="00A30258" w:rsidP="005D6D95">
      <w:pPr>
        <w:spacing w:line="276" w:lineRule="auto"/>
        <w:jc w:val="both"/>
        <w:rPr>
          <w:rFonts w:ascii="Calibri" w:hAnsi="Calibri" w:cs="Calibri"/>
          <w:b/>
          <w:lang w:eastAsia="ja-JP"/>
        </w:rPr>
      </w:pPr>
      <w:r w:rsidRPr="009C00E4">
        <w:rPr>
          <w:rFonts w:ascii="Calibri" w:hAnsi="Calibri" w:cs="Calibri"/>
          <w:b/>
          <w:lang w:eastAsia="ja-JP"/>
        </w:rPr>
        <w:t>MODALITÀ DI ESECUZIONE</w:t>
      </w:r>
      <w:r>
        <w:rPr>
          <w:rFonts w:ascii="Calibri" w:hAnsi="Calibri" w:cs="Calibri"/>
          <w:b/>
          <w:lang w:eastAsia="ja-JP"/>
        </w:rPr>
        <w:t>:</w:t>
      </w:r>
    </w:p>
    <w:p w14:paraId="3B7164DF" w14:textId="4CBC2FDB" w:rsidR="004D103A" w:rsidRDefault="00A30258" w:rsidP="005D6D9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 xml:space="preserve">L’esame viene eseguito </w:t>
      </w:r>
      <w:r w:rsidR="004D103A">
        <w:rPr>
          <w:rFonts w:ascii="Calibri" w:eastAsia="Calibri" w:hAnsi="Calibri" w:cs="Calibri"/>
          <w:sz w:val="22"/>
          <w:szCs w:val="22"/>
          <w:lang w:bidi="it-IT"/>
        </w:rPr>
        <w:t>con un colonscopio, dotato in punta di una sorgente luminosa e di una picc</w:t>
      </w:r>
      <w:r w:rsidR="00014449">
        <w:rPr>
          <w:rFonts w:ascii="Calibri" w:eastAsia="Calibri" w:hAnsi="Calibri" w:cs="Calibri"/>
          <w:sz w:val="22"/>
          <w:szCs w:val="22"/>
          <w:lang w:bidi="it-IT"/>
        </w:rPr>
        <w:t>o</w:t>
      </w:r>
      <w:r w:rsidR="004D103A">
        <w:rPr>
          <w:rFonts w:ascii="Calibri" w:eastAsia="Calibri" w:hAnsi="Calibri" w:cs="Calibri"/>
          <w:sz w:val="22"/>
          <w:szCs w:val="22"/>
          <w:lang w:bidi="it-IT"/>
        </w:rPr>
        <w:t xml:space="preserve">la telecamera che invia le immagini ad un processore e quindi ad uno schermo. </w:t>
      </w:r>
    </w:p>
    <w:p w14:paraId="7CC16ED9" w14:textId="77777777" w:rsidR="004D103A" w:rsidRDefault="00A30258" w:rsidP="005D6D9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Dopo aver acquisito il consenso del paziente, </w:t>
      </w:r>
      <w:r w:rsidR="004D103A">
        <w:rPr>
          <w:rFonts w:ascii="Calibri" w:eastAsia="Calibri" w:hAnsi="Calibri" w:cs="Calibri"/>
          <w:sz w:val="22"/>
          <w:szCs w:val="22"/>
          <w:lang w:bidi="it-IT"/>
        </w:rPr>
        <w:t xml:space="preserve">generalmente 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si posiziona un accesso venoso periferico e si monitorizzano la frequenza cardiaca, la saturazione d’ossigeno del sangue e la pressione arteriosa. </w:t>
      </w:r>
    </w:p>
    <w:p w14:paraId="0D0C80D1" w14:textId="51D29322" w:rsidR="004D103A" w:rsidRDefault="004D103A" w:rsidP="005D6D9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L’esame viene eseguito preferibilmente sul fia</w:t>
      </w:r>
      <w:r w:rsidR="00014449">
        <w:rPr>
          <w:rFonts w:ascii="Calibri" w:eastAsia="Calibri" w:hAnsi="Calibri" w:cs="Calibri"/>
          <w:sz w:val="22"/>
          <w:szCs w:val="22"/>
          <w:lang w:bidi="it-IT"/>
        </w:rPr>
        <w:t>n</w:t>
      </w:r>
      <w:r>
        <w:rPr>
          <w:rFonts w:ascii="Calibri" w:eastAsia="Calibri" w:hAnsi="Calibri" w:cs="Calibri"/>
          <w:sz w:val="22"/>
          <w:szCs w:val="22"/>
          <w:lang w:bidi="it-IT"/>
        </w:rPr>
        <w:t>co sinistro, ma nel corso della procedura può essere necessario cambiare posizione ed effettuare manovre di compressione manuale dell’addome per facilitare la progressione dell’endoscopio.</w:t>
      </w:r>
    </w:p>
    <w:p w14:paraId="30A070C2" w14:textId="3AF7E668" w:rsidR="004D103A" w:rsidRDefault="004D103A" w:rsidP="005D6D9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Durante l’esame:</w:t>
      </w:r>
    </w:p>
    <w:p w14:paraId="443DD72F" w14:textId="2EE1E1FA" w:rsidR="005D6D95" w:rsidRDefault="004D103A" w:rsidP="005D6D95">
      <w:pPr>
        <w:pStyle w:val="Normale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Si insuffla aria in quantità adeguata a distendere le pareti addominali per facilitarne la visione; questo può causare al paziente una sensazione di distensione addominale assolutamente transitoria</w:t>
      </w:r>
      <w:r w:rsidR="00C43A28">
        <w:rPr>
          <w:rFonts w:ascii="Calibri" w:eastAsia="Calibri" w:hAnsi="Calibri" w:cs="Calibri"/>
          <w:sz w:val="22"/>
          <w:szCs w:val="22"/>
          <w:lang w:bidi="it-IT"/>
        </w:rPr>
        <w:t>;</w:t>
      </w:r>
    </w:p>
    <w:p w14:paraId="681E73FE" w14:textId="0353E326" w:rsidR="004D103A" w:rsidRPr="005D6D95" w:rsidRDefault="00014449" w:rsidP="005D6D95">
      <w:pPr>
        <w:pStyle w:val="Normale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5D6D95">
        <w:rPr>
          <w:rFonts w:ascii="Calibri" w:eastAsia="Calibri" w:hAnsi="Calibri" w:cs="Calibri"/>
          <w:sz w:val="22"/>
          <w:szCs w:val="22"/>
          <w:lang w:bidi="it-IT"/>
        </w:rPr>
        <w:t>L’esame dura in media da 15 a 30 minuti, ma tale tempo può diminuire o aumentare in funzione del grado di difficoltà alla progressione dell’endoscopio lungo il colon e della pulizia dello stesso. Il superamento di alcune curve può provocare temporaneamente modico dolore talora più intenso in caso di particolare lunghezza e/o tortuosità del viscere o in presenza di aderenze da precedenti interventi chirurgici o trattamenti radioterapici.</w:t>
      </w:r>
    </w:p>
    <w:p w14:paraId="0EDF521F" w14:textId="2AA6EF51" w:rsidR="00014449" w:rsidRDefault="00014449" w:rsidP="005D6D9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A seconda dei casi e in accordo con il paziente, può essere eseguita una sedazione mediante somministrazione di un sedativo/analgesico endovena.</w:t>
      </w:r>
      <w:r w:rsidRPr="00014449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La sedoanalgesia si effettua attraverso l’impiego contemporaneo di farmaci analgesici (abitualmente Meperidina o Petidina) e sedativi (abitualmente 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lastRenderedPageBreak/>
        <w:t>Midazolam) il cui effetto insorge immediatamente e rapidamente termina alla fine dell’infusione, così da lasciare pochi residui di sedazione al termine dell’esame. I dosaggi possono essere modulati in base alla necessità.</w:t>
      </w:r>
      <w:r w:rsidRPr="00014449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>Alcuni pazienti si addormentano o, al termine dell’esame, non ricordano quanto sia successo.</w:t>
      </w:r>
      <w:r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>L’obiettivo però – è bene precisarlo – non è quello di “addormentare il paziente”, ma di ridurre il disagio e consentire l’esecuzione dell’esame.</w:t>
      </w:r>
      <w:r w:rsidRPr="00014449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</w:p>
    <w:p w14:paraId="63EAD9F7" w14:textId="057D5D20" w:rsidR="00A30258" w:rsidRPr="00FE7B0D" w:rsidRDefault="00014449" w:rsidP="006952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Oltre alla sedoanalgesia esiste la possibilità di effettuare una sedazione più profonda, che porta ad uno stato di incoscienza totale o parziale. Non </w:t>
      </w:r>
      <w:r w:rsidR="00695294">
        <w:rPr>
          <w:rFonts w:ascii="Calibri" w:eastAsia="Calibri" w:hAnsi="Calibri" w:cs="Calibri"/>
          <w:sz w:val="22"/>
          <w:szCs w:val="22"/>
          <w:lang w:bidi="it-IT"/>
        </w:rPr>
        <w:t>provoca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 però una condizione di anestesia generale, conservando</w:t>
      </w:r>
      <w:r w:rsidR="00C43A28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="00A30258" w:rsidRPr="00FE7B0D">
        <w:rPr>
          <w:rFonts w:ascii="Calibri" w:eastAsia="Calibri" w:hAnsi="Calibri" w:cs="Calibri"/>
          <w:sz w:val="22"/>
          <w:szCs w:val="22"/>
          <w:lang w:bidi="it-IT"/>
        </w:rPr>
        <w:t>alcuni riflessi protettivi delle vie respiratorie (la tosse e la deglutizione)</w:t>
      </w:r>
      <w:r w:rsidR="00C43A28">
        <w:rPr>
          <w:rFonts w:ascii="Calibri" w:eastAsia="Calibri" w:hAnsi="Calibri" w:cs="Calibri"/>
          <w:sz w:val="22"/>
          <w:szCs w:val="22"/>
          <w:lang w:bidi="it-IT"/>
        </w:rPr>
        <w:t xml:space="preserve">, nonché </w:t>
      </w:r>
      <w:r w:rsidR="00A30258" w:rsidRPr="00FE7B0D">
        <w:rPr>
          <w:rFonts w:ascii="Calibri" w:eastAsia="Calibri" w:hAnsi="Calibri" w:cs="Calibri"/>
          <w:sz w:val="22"/>
          <w:szCs w:val="22"/>
          <w:lang w:bidi="it-IT"/>
        </w:rPr>
        <w:t xml:space="preserve">il respiro spontaneo. Il respiro può essere assistito con una mascherina </w:t>
      </w:r>
      <w:r>
        <w:rPr>
          <w:rFonts w:ascii="Calibri" w:eastAsia="Calibri" w:hAnsi="Calibri" w:cs="Calibri"/>
          <w:sz w:val="22"/>
          <w:szCs w:val="22"/>
          <w:lang w:bidi="it-IT"/>
        </w:rPr>
        <w:t>facciale</w:t>
      </w:r>
      <w:r w:rsidR="00A30258" w:rsidRPr="00FE7B0D">
        <w:rPr>
          <w:rFonts w:ascii="Calibri" w:eastAsia="Calibri" w:hAnsi="Calibri" w:cs="Calibri"/>
          <w:sz w:val="22"/>
          <w:szCs w:val="22"/>
          <w:lang w:bidi="it-IT"/>
        </w:rPr>
        <w:t xml:space="preserve"> che porta ossigeno al naso e alla bocca, ma non richiede intubazione laringea. Non in tutti i pazienti è consigliabile effettuare una sedazione profonda, per qualcuno è più rischioso che per altri; questo vale principalmente per persone anziane, cardiopatiche e con malattie croniche polmonari.</w:t>
      </w:r>
      <w:r w:rsidR="00695294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="00A30258" w:rsidRPr="00FE7B0D">
        <w:rPr>
          <w:rFonts w:ascii="Calibri" w:eastAsia="Calibri" w:hAnsi="Calibri" w:cs="Calibri"/>
          <w:sz w:val="22"/>
          <w:szCs w:val="22"/>
          <w:lang w:bidi="it-IT"/>
        </w:rPr>
        <w:t xml:space="preserve">Occorre valutare bene i rischi in base alla storia passata del paziente, alle malattie in corso e ai farmaci che assume. </w:t>
      </w:r>
    </w:p>
    <w:p w14:paraId="2E0927D3" w14:textId="77777777" w:rsidR="00BE0D10" w:rsidRDefault="00BE0D10" w:rsidP="0010113B">
      <w:pPr>
        <w:spacing w:line="276" w:lineRule="auto"/>
        <w:ind w:left="284" w:hanging="142"/>
        <w:jc w:val="both"/>
        <w:rPr>
          <w:rFonts w:ascii="Calibri" w:hAnsi="Calibri" w:cs="Calibri"/>
          <w:b/>
          <w:lang w:eastAsia="ja-JP"/>
        </w:rPr>
      </w:pPr>
    </w:p>
    <w:p w14:paraId="3D8C1983" w14:textId="0122C5C1" w:rsidR="009C00E4" w:rsidRPr="009C00E4" w:rsidRDefault="009C00E4" w:rsidP="001F2E3C">
      <w:pPr>
        <w:spacing w:line="276" w:lineRule="auto"/>
        <w:ind w:left="284" w:hanging="284"/>
        <w:jc w:val="both"/>
        <w:rPr>
          <w:rFonts w:ascii="Calibri" w:hAnsi="Calibri" w:cs="Calibri"/>
          <w:b/>
          <w:lang w:eastAsia="ja-JP"/>
        </w:rPr>
      </w:pPr>
      <w:r w:rsidRPr="009C00E4">
        <w:rPr>
          <w:rFonts w:ascii="Calibri" w:hAnsi="Calibri" w:cs="Calibri"/>
          <w:b/>
          <w:lang w:eastAsia="ja-JP"/>
        </w:rPr>
        <w:t>POSSIBILI COMPLICANZE</w:t>
      </w:r>
      <w:r w:rsidR="003F55A3">
        <w:rPr>
          <w:rFonts w:ascii="Calibri" w:hAnsi="Calibri" w:cs="Calibri"/>
          <w:b/>
          <w:lang w:eastAsia="ja-JP"/>
        </w:rPr>
        <w:t>:</w:t>
      </w:r>
    </w:p>
    <w:p w14:paraId="03E39EC2" w14:textId="6CB59768" w:rsidR="001F2E3C" w:rsidRDefault="001F2E3C" w:rsidP="001F2E3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La colonscopia, sia diagnostica, sia terapeutica, è generalmente sicura. Complicanze cliniche significative in corso di una colonscopia diagnostica sono rare (generalmente inferiori allo 0,1-0,6%) ed il tasso di mortalità è inferiore allo 0,007%.</w:t>
      </w:r>
    </w:p>
    <w:p w14:paraId="42BB9B5E" w14:textId="1D7746CB" w:rsidR="009C00E4" w:rsidRPr="00FE7B0D" w:rsidRDefault="009C00E4" w:rsidP="001F2E3C">
      <w:pPr>
        <w:pStyle w:val="Normale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Le principali complicanze di una colonscopia diagnostica sono rappresentate da: </w:t>
      </w:r>
    </w:p>
    <w:p w14:paraId="32444AC1" w14:textId="77777777" w:rsidR="009C00E4" w:rsidRPr="00FE7B0D" w:rsidRDefault="009C00E4" w:rsidP="005D6D95">
      <w:pPr>
        <w:pStyle w:val="Paragrafoelenco"/>
        <w:numPr>
          <w:ilvl w:val="0"/>
          <w:numId w:val="19"/>
        </w:numPr>
        <w:spacing w:before="115"/>
        <w:ind w:left="426" w:right="1298" w:hanging="284"/>
        <w:jc w:val="both"/>
        <w:rPr>
          <w:b/>
          <w:bCs/>
        </w:rPr>
      </w:pPr>
      <w:r w:rsidRPr="00FE7B0D">
        <w:rPr>
          <w:b/>
          <w:bCs/>
        </w:rPr>
        <w:t>complicanze cardiorespiratorie e circolatorie</w:t>
      </w:r>
    </w:p>
    <w:p w14:paraId="00F48D48" w14:textId="77777777" w:rsidR="009C00E4" w:rsidRPr="00FE7B0D" w:rsidRDefault="009C00E4" w:rsidP="009A5F6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Sono estremamente rare (0,9%), per lo più legate alla sedazione, e sono rappresentate da calo di ossigeno nel sangue, arresto respiratorio, infarto miocardico, e shock.</w:t>
      </w:r>
    </w:p>
    <w:p w14:paraId="40DCBB5A" w14:textId="77777777" w:rsidR="009C00E4" w:rsidRPr="005D6D95" w:rsidRDefault="009C00E4" w:rsidP="005D6D95">
      <w:pPr>
        <w:pStyle w:val="Paragrafoelenco"/>
        <w:numPr>
          <w:ilvl w:val="0"/>
          <w:numId w:val="19"/>
        </w:numPr>
        <w:spacing w:before="115"/>
        <w:ind w:left="426" w:right="1298" w:hanging="284"/>
        <w:jc w:val="both"/>
        <w:rPr>
          <w:b/>
          <w:bCs/>
        </w:rPr>
      </w:pPr>
      <w:r w:rsidRPr="005D6D95">
        <w:rPr>
          <w:b/>
          <w:bCs/>
        </w:rPr>
        <w:t>emorragia</w:t>
      </w:r>
    </w:p>
    <w:p w14:paraId="6F0C4E60" w14:textId="77777777" w:rsidR="009C00E4" w:rsidRPr="00FE7B0D" w:rsidRDefault="009C00E4" w:rsidP="009A5F64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Associata in genere a procedure terapeutiche, molto raramente si può verificare anche in corso di procedure diagnostiche (0,3-6,1%). Generalmente è di modesta entità e tende ad autolimitarsi. In</w:t>
      </w:r>
      <w:r w:rsidRPr="003620E1">
        <w:rPr>
          <w:rFonts w:asciiTheme="minorHAnsi" w:hAnsiTheme="minorHAnsi"/>
          <w:bCs/>
          <w:color w:val="231F20"/>
        </w:rPr>
        <w:t xml:space="preserve"> r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>ari casi può essere necessario controllarla mediante una tecnica di emostasi endoscopica. L’indicazione a trattamenti chirurgici per emorragie in corso di colonscopia diagnostica è rarissima.</w:t>
      </w:r>
    </w:p>
    <w:p w14:paraId="4627A6A5" w14:textId="77777777" w:rsidR="009C00E4" w:rsidRPr="005D6D95" w:rsidRDefault="009C00E4" w:rsidP="005D6D95">
      <w:pPr>
        <w:pStyle w:val="Paragrafoelenco"/>
        <w:numPr>
          <w:ilvl w:val="0"/>
          <w:numId w:val="19"/>
        </w:numPr>
        <w:spacing w:before="115"/>
        <w:ind w:left="426" w:right="1298" w:hanging="284"/>
        <w:jc w:val="both"/>
        <w:rPr>
          <w:b/>
          <w:bCs/>
        </w:rPr>
      </w:pPr>
      <w:r w:rsidRPr="005D6D95">
        <w:rPr>
          <w:b/>
          <w:bCs/>
        </w:rPr>
        <w:t>perforazione (0.07-0.3%)</w:t>
      </w:r>
    </w:p>
    <w:p w14:paraId="7A30E5D3" w14:textId="030B8858" w:rsidR="009C00E4" w:rsidRPr="00FE7B0D" w:rsidRDefault="009C00E4" w:rsidP="004755C1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La perforazione in corso di una colonscopia diagnostica può essere conseguenza di traumi causati dallo strumento o dalla pressione del gas insufflato (baro-trauma). In alcuni casi, quando la perforazione è di piccole dimensioni e sia diagnosticata nel corso dell’esame stesso, è possibile effettuare un tentativo di trattamento endoscopico</w:t>
      </w:r>
      <w:r w:rsidR="00051605">
        <w:rPr>
          <w:rFonts w:ascii="Calibri" w:eastAsia="Calibri" w:hAnsi="Calibri" w:cs="Calibri"/>
          <w:sz w:val="22"/>
          <w:szCs w:val="22"/>
          <w:lang w:bidi="it-IT"/>
        </w:rPr>
        <w:t xml:space="preserve"> con clip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>. Quando la perforazione è di maggiori dimensioni o qualora il trattamento endoscopico risulti inefficace, è indicato il trattamento chirurgico.</w:t>
      </w:r>
    </w:p>
    <w:p w14:paraId="40EDC058" w14:textId="77777777" w:rsidR="009C00E4" w:rsidRPr="005D6D95" w:rsidRDefault="009C00E4" w:rsidP="005D6D95">
      <w:pPr>
        <w:pStyle w:val="Paragrafoelenco"/>
        <w:numPr>
          <w:ilvl w:val="0"/>
          <w:numId w:val="19"/>
        </w:numPr>
        <w:spacing w:before="115"/>
        <w:ind w:left="426" w:right="1298" w:hanging="284"/>
        <w:jc w:val="both"/>
        <w:rPr>
          <w:b/>
          <w:bCs/>
        </w:rPr>
      </w:pPr>
      <w:r w:rsidRPr="005D6D95">
        <w:rPr>
          <w:b/>
          <w:bCs/>
        </w:rPr>
        <w:t>infezioni</w:t>
      </w:r>
    </w:p>
    <w:p w14:paraId="7BF8D0FF" w14:textId="74759462" w:rsidR="009C00E4" w:rsidRDefault="009C00E4" w:rsidP="00DF1660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Dopo la colonscopia (con o senza biopsie) si può manifestare una transitoria immissione di batteri nel sangue (batteriemia). Ciò avviene approssimativamente nel 4% delle procedure con una percentuale che va dallo 0% al 25%. Segni o sintomi di vere infezioni sono rari. Pertanto, per i pazienti che si sottopongono a colonscopia, non è raccomandata una profilassi antibiotica.</w:t>
      </w:r>
    </w:p>
    <w:p w14:paraId="1376CF75" w14:textId="62B975CE" w:rsidR="009C00E4" w:rsidRPr="005D6D95" w:rsidRDefault="009C00E4" w:rsidP="005D6D95">
      <w:pPr>
        <w:pStyle w:val="Paragrafoelenco"/>
        <w:numPr>
          <w:ilvl w:val="0"/>
          <w:numId w:val="19"/>
        </w:numPr>
        <w:spacing w:before="115"/>
        <w:ind w:left="426" w:right="1298" w:hanging="284"/>
        <w:jc w:val="both"/>
        <w:rPr>
          <w:b/>
          <w:bCs/>
        </w:rPr>
      </w:pPr>
      <w:r w:rsidRPr="005D6D95">
        <w:rPr>
          <w:b/>
          <w:bCs/>
        </w:rPr>
        <w:t>esplos</w:t>
      </w:r>
      <w:r w:rsidR="001026C3">
        <w:rPr>
          <w:b/>
          <w:bCs/>
        </w:rPr>
        <w:t>i</w:t>
      </w:r>
      <w:r w:rsidRPr="005D6D95">
        <w:rPr>
          <w:b/>
          <w:bCs/>
        </w:rPr>
        <w:t>one da gas</w:t>
      </w:r>
    </w:p>
    <w:p w14:paraId="5001890E" w14:textId="45DDDB8A" w:rsidR="009C00E4" w:rsidRDefault="009C00E4" w:rsidP="00DF1660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È un evento rarissimo, conseguente a preparazioni intestinali a base di mannitolo o sorbitolo che sviluppano gas infiammabili concomitante </w:t>
      </w:r>
      <w:r w:rsidR="0041648F" w:rsidRPr="00FE7B0D">
        <w:rPr>
          <w:rFonts w:ascii="Calibri" w:eastAsia="Calibri" w:hAnsi="Calibri" w:cs="Calibri"/>
          <w:sz w:val="22"/>
          <w:szCs w:val="22"/>
          <w:lang w:bidi="it-IT"/>
        </w:rPr>
        <w:t>anche all’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>utilizzo di fonti di corrente (come quelle dell’elettrobisturi per la polipectomia, APC, ecc.).</w:t>
      </w:r>
    </w:p>
    <w:p w14:paraId="6B3C243B" w14:textId="77777777" w:rsidR="00C43A28" w:rsidRPr="00FE7B0D" w:rsidRDefault="00C43A28" w:rsidP="00DF1660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65F3B7D9" w14:textId="77777777" w:rsidR="009C00E4" w:rsidRPr="005D6D95" w:rsidRDefault="009C00E4" w:rsidP="005D6D95">
      <w:pPr>
        <w:pStyle w:val="Paragrafoelenco"/>
        <w:numPr>
          <w:ilvl w:val="0"/>
          <w:numId w:val="19"/>
        </w:numPr>
        <w:spacing w:before="115"/>
        <w:ind w:left="426" w:right="1298" w:hanging="284"/>
        <w:jc w:val="both"/>
        <w:rPr>
          <w:b/>
          <w:bCs/>
        </w:rPr>
      </w:pPr>
      <w:r w:rsidRPr="005D6D95">
        <w:rPr>
          <w:b/>
          <w:bCs/>
        </w:rPr>
        <w:lastRenderedPageBreak/>
        <w:t>miscellanea</w:t>
      </w:r>
    </w:p>
    <w:p w14:paraId="51E0F0E6" w14:textId="3F0513B7" w:rsidR="007D1021" w:rsidRPr="00FE7B0D" w:rsidRDefault="009C00E4" w:rsidP="005D6D95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Sono state segnalate in letteratura complicanze rarissime della colonscopia tra cui: rottura della milza, appendicite acuta, diverticolite, enfisema sottocutaneo e lacerazione dei vasi mesenterici con emorragia intra-addominale.</w:t>
      </w:r>
    </w:p>
    <w:p w14:paraId="40D223BB" w14:textId="77777777" w:rsidR="00C121EE" w:rsidRPr="00FE7B0D" w:rsidRDefault="00C121EE" w:rsidP="0041648F">
      <w:pPr>
        <w:ind w:left="142"/>
        <w:jc w:val="both"/>
        <w:rPr>
          <w:rFonts w:ascii="Calibri" w:eastAsia="Calibri" w:hAnsi="Calibri" w:cs="Calibri"/>
          <w:sz w:val="22"/>
          <w:szCs w:val="22"/>
          <w:u w:val="single"/>
          <w:lang w:bidi="it-IT"/>
        </w:rPr>
      </w:pPr>
    </w:p>
    <w:p w14:paraId="2A186BBA" w14:textId="77777777" w:rsidR="00C121EE" w:rsidRPr="00FE7B0D" w:rsidRDefault="00C121EE" w:rsidP="00BC6FD5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u w:val="single"/>
          <w:lang w:bidi="it-IT"/>
        </w:rPr>
      </w:pPr>
      <w:bookmarkStart w:id="0" w:name="_Hlk68601563"/>
      <w:r w:rsidRPr="00FE7B0D">
        <w:rPr>
          <w:rFonts w:ascii="Calibri" w:eastAsia="Calibri" w:hAnsi="Calibri" w:cs="Calibri"/>
          <w:sz w:val="22"/>
          <w:szCs w:val="22"/>
          <w:u w:val="single"/>
          <w:lang w:bidi="it-IT"/>
        </w:rPr>
        <w:t>Complicanze della sedoanalgesia</w:t>
      </w:r>
    </w:p>
    <w:p w14:paraId="05E99198" w14:textId="77777777" w:rsidR="00C121EE" w:rsidRPr="00FE7B0D" w:rsidRDefault="00C121EE" w:rsidP="00BC6FD5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Sono poche e rare. Come qualsiasi farmaco, però, anche quelli impiegati per ottenere la sedoanalgesia possono comportare complicanze, in particolare nei pazienti affetti da patologie cardio-respiratorie e negli anziani, quali:</w:t>
      </w:r>
    </w:p>
    <w:p w14:paraId="71C97F2B" w14:textId="77777777" w:rsidR="00BC6FD5" w:rsidRDefault="00C121EE" w:rsidP="00BC6FD5">
      <w:pPr>
        <w:pStyle w:val="Paragrafoelenco"/>
        <w:numPr>
          <w:ilvl w:val="0"/>
          <w:numId w:val="21"/>
        </w:numPr>
        <w:adjustRightInd w:val="0"/>
        <w:jc w:val="both"/>
      </w:pPr>
      <w:r w:rsidRPr="00FE7B0D">
        <w:t>isolati casi di broncospasmo e reazioni allergiche;</w:t>
      </w:r>
    </w:p>
    <w:p w14:paraId="77423A74" w14:textId="77777777" w:rsidR="00BC6FD5" w:rsidRDefault="00C121EE" w:rsidP="00BC6FD5">
      <w:pPr>
        <w:pStyle w:val="Paragrafoelenco"/>
        <w:numPr>
          <w:ilvl w:val="0"/>
          <w:numId w:val="21"/>
        </w:numPr>
        <w:adjustRightInd w:val="0"/>
        <w:jc w:val="both"/>
      </w:pPr>
      <w:r w:rsidRPr="00FE7B0D">
        <w:t>problemi cardio-respiratori come l’alterazione della pressione arteriosa, della frequenza e del ritmo cardiaco;</w:t>
      </w:r>
    </w:p>
    <w:p w14:paraId="5139BB59" w14:textId="309FC2E4" w:rsidR="00C121EE" w:rsidRPr="00FE7B0D" w:rsidRDefault="00C121EE" w:rsidP="00BC6FD5">
      <w:pPr>
        <w:pStyle w:val="Paragrafoelenco"/>
        <w:numPr>
          <w:ilvl w:val="0"/>
          <w:numId w:val="21"/>
        </w:numPr>
        <w:adjustRightInd w:val="0"/>
        <w:jc w:val="both"/>
      </w:pPr>
      <w:r w:rsidRPr="00FE7B0D">
        <w:t>depressione respiratoria, apnea, arresto respiratorio e/o cardiaco, che in alcune – ancor più rare circostanze</w:t>
      </w:r>
      <w:r w:rsidR="00C43A28">
        <w:t xml:space="preserve"> - </w:t>
      </w:r>
      <w:r w:rsidRPr="00FE7B0D">
        <w:t xml:space="preserve"> potrebbero risultare pericolose per la vita.</w:t>
      </w:r>
    </w:p>
    <w:p w14:paraId="2ED52C96" w14:textId="1F47CD73" w:rsidR="00C121EE" w:rsidRPr="00FE7B0D" w:rsidRDefault="00C121EE" w:rsidP="00BC6FD5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Nonostante l’effetto sedativo dei farmaci impiegati nella sedo-analgesia scompaia rapidamente al termine dell’infusione, possono </w:t>
      </w:r>
      <w:r w:rsidR="00BC6FD5">
        <w:rPr>
          <w:rFonts w:ascii="Calibri" w:eastAsia="Calibri" w:hAnsi="Calibri" w:cs="Calibri"/>
          <w:sz w:val="22"/>
          <w:szCs w:val="22"/>
          <w:lang w:bidi="it-IT"/>
        </w:rPr>
        <w:t>residuare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 rallentamenti nei riflessi e sonnolenza, per cui il paziente non deve guidare nelle 12 ore successive all’esame ed essere accompagnato al ritorno a</w:t>
      </w:r>
      <w:r w:rsidR="00BC6FD5">
        <w:rPr>
          <w:rFonts w:ascii="Calibri" w:eastAsia="Calibri" w:hAnsi="Calibri" w:cs="Calibri"/>
          <w:sz w:val="22"/>
          <w:szCs w:val="22"/>
          <w:lang w:bidi="it-IT"/>
        </w:rPr>
        <w:t>l suo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 domicilio. Nel caso non sia presente un accompagnatore al momento dell’esame non potrà essere somministrata la sedoanalgesia</w:t>
      </w:r>
      <w:bookmarkEnd w:id="0"/>
      <w:r w:rsidRPr="00FE7B0D">
        <w:rPr>
          <w:rFonts w:ascii="Calibri" w:eastAsia="Calibri" w:hAnsi="Calibri" w:cs="Calibri"/>
          <w:sz w:val="22"/>
          <w:szCs w:val="22"/>
          <w:lang w:bidi="it-IT"/>
        </w:rPr>
        <w:t>.</w:t>
      </w:r>
    </w:p>
    <w:p w14:paraId="2D48BA41" w14:textId="77777777" w:rsidR="00C121EE" w:rsidRPr="00FE7B0D" w:rsidRDefault="00C121EE" w:rsidP="00BC6FD5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u w:val="single"/>
          <w:lang w:bidi="it-IT"/>
        </w:rPr>
      </w:pPr>
    </w:p>
    <w:p w14:paraId="0D5A6F9A" w14:textId="77777777" w:rsidR="00C121EE" w:rsidRPr="00FE7B0D" w:rsidRDefault="00C121EE" w:rsidP="00C121EE">
      <w:pPr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sz w:val="22"/>
          <w:szCs w:val="22"/>
          <w:u w:val="single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u w:val="single"/>
          <w:lang w:bidi="it-IT"/>
        </w:rPr>
        <w:t>Complicanze della sedazione profonda</w:t>
      </w:r>
    </w:p>
    <w:p w14:paraId="617814E0" w14:textId="77777777" w:rsidR="00C121EE" w:rsidRPr="00FE7B0D" w:rsidRDefault="00C121EE" w:rsidP="00C121EE">
      <w:pPr>
        <w:autoSpaceDE w:val="0"/>
        <w:autoSpaceDN w:val="0"/>
        <w:adjustRightInd w:val="0"/>
        <w:ind w:left="142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I rischi possibili sono:</w:t>
      </w:r>
    </w:p>
    <w:p w14:paraId="73BCAC22" w14:textId="77777777" w:rsidR="00BC6FD5" w:rsidRDefault="00C121EE" w:rsidP="00BC6FD5">
      <w:pPr>
        <w:pStyle w:val="Paragrafoelenco"/>
        <w:numPr>
          <w:ilvl w:val="0"/>
          <w:numId w:val="22"/>
        </w:numPr>
        <w:adjustRightInd w:val="0"/>
      </w:pPr>
      <w:r w:rsidRPr="00BC6FD5">
        <w:t>depressione respiratoria provocata dai farmaci e necessità di ventilazione assistita;</w:t>
      </w:r>
    </w:p>
    <w:p w14:paraId="4CD53DF5" w14:textId="77777777" w:rsidR="00BC6FD5" w:rsidRDefault="00C121EE" w:rsidP="00BC6FD5">
      <w:pPr>
        <w:pStyle w:val="Paragrafoelenco"/>
        <w:numPr>
          <w:ilvl w:val="0"/>
          <w:numId w:val="22"/>
        </w:numPr>
        <w:adjustRightInd w:val="0"/>
      </w:pPr>
      <w:r w:rsidRPr="00BC6FD5">
        <w:t>alterazioni cardiocircolatorie in pazienti cardiopatici</w:t>
      </w:r>
      <w:r w:rsidR="00BC6FD5">
        <w:t>;</w:t>
      </w:r>
    </w:p>
    <w:p w14:paraId="751EF0B4" w14:textId="2BB6CFF3" w:rsidR="00C121EE" w:rsidRPr="00BC6FD5" w:rsidRDefault="00C121EE" w:rsidP="00BC6FD5">
      <w:pPr>
        <w:pStyle w:val="Paragrafoelenco"/>
        <w:numPr>
          <w:ilvl w:val="0"/>
          <w:numId w:val="22"/>
        </w:numPr>
        <w:adjustRightInd w:val="0"/>
      </w:pPr>
      <w:r w:rsidRPr="00BC6FD5">
        <w:t>maggiori rischi di lesioni accidentali del colon per assenza di reazioni dolorose del paziente</w:t>
      </w:r>
      <w:r w:rsidR="00BC6FD5">
        <w:t>.</w:t>
      </w:r>
    </w:p>
    <w:p w14:paraId="46D90810" w14:textId="77777777" w:rsidR="00C121EE" w:rsidRPr="00FE7B0D" w:rsidRDefault="00C121EE" w:rsidP="0041648F">
      <w:pPr>
        <w:ind w:left="142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7F6CBAEA" w14:textId="77777777" w:rsidR="00BC6FD5" w:rsidRDefault="00BC6FD5" w:rsidP="009C00E4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bookmarkStart w:id="1" w:name="_Hlk68601675"/>
      <w:r>
        <w:rPr>
          <w:rFonts w:ascii="Calibri" w:eastAsia="Calibri" w:hAnsi="Calibri" w:cs="Calibri"/>
          <w:b/>
          <w:bCs/>
          <w:sz w:val="22"/>
          <w:szCs w:val="22"/>
          <w:lang w:bidi="it-IT"/>
        </w:rPr>
        <w:t>Procedure integrative a finalità operativa che possono essere attuate durante la colonscopia</w:t>
      </w:r>
    </w:p>
    <w:bookmarkEnd w:id="1"/>
    <w:p w14:paraId="6CABAB06" w14:textId="3348803F" w:rsidR="009C00E4" w:rsidRPr="00FE7B0D" w:rsidRDefault="009C00E4" w:rsidP="009C00E4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b/>
          <w:bCs/>
          <w:sz w:val="22"/>
          <w:szCs w:val="22"/>
          <w:lang w:bidi="it-IT"/>
        </w:rPr>
        <w:t>POLIPECTOMIA</w:t>
      </w:r>
    </w:p>
    <w:p w14:paraId="10CCFAD2" w14:textId="77777777" w:rsidR="009C00E4" w:rsidRPr="00FE7B0D" w:rsidRDefault="009C00E4" w:rsidP="009C00E4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È una tecnica endoscopica che consente l’asportazione dei polipi del colon, mediante l’utilizzo di particolari accessori (anse da polipectomia) generalmente collegati ad un elettrobisturi.</w:t>
      </w:r>
    </w:p>
    <w:p w14:paraId="22BF04A9" w14:textId="77777777" w:rsidR="009C00E4" w:rsidRPr="00FE7B0D" w:rsidRDefault="009C00E4" w:rsidP="009C00E4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In alcuni casi la polipectomia può essere effettuata senza far uso di corrente diatermica (cosiddetta tecnica “a freddo”).</w:t>
      </w:r>
    </w:p>
    <w:p w14:paraId="15228DFB" w14:textId="77777777" w:rsidR="009C00E4" w:rsidRPr="00FE7B0D" w:rsidRDefault="009C00E4" w:rsidP="009C00E4">
      <w:pPr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Le complicanze sono rare. </w:t>
      </w:r>
    </w:p>
    <w:p w14:paraId="69AD8DB4" w14:textId="77777777" w:rsidR="009C00E4" w:rsidRPr="00FE7B0D" w:rsidRDefault="009C00E4" w:rsidP="009C00E4">
      <w:pPr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Le più frequenti sono rappresentate da: </w:t>
      </w:r>
    </w:p>
    <w:p w14:paraId="451C1A15" w14:textId="0926CD9F" w:rsidR="0041648F" w:rsidRPr="0017717B" w:rsidRDefault="009C00E4" w:rsidP="0041648F">
      <w:pPr>
        <w:pStyle w:val="Paragrafoelenco"/>
        <w:numPr>
          <w:ilvl w:val="0"/>
          <w:numId w:val="16"/>
        </w:numPr>
        <w:spacing w:before="115"/>
        <w:ind w:left="426" w:right="1" w:hanging="284"/>
        <w:jc w:val="both"/>
        <w:rPr>
          <w:b/>
          <w:bCs/>
        </w:rPr>
      </w:pPr>
      <w:r w:rsidRPr="00FE7B0D">
        <w:rPr>
          <w:b/>
          <w:bCs/>
        </w:rPr>
        <w:t>perforazione (0.04-1.0%)</w:t>
      </w:r>
      <w:r w:rsidR="0017717B">
        <w:rPr>
          <w:b/>
          <w:bCs/>
        </w:rPr>
        <w:t xml:space="preserve">: </w:t>
      </w:r>
      <w:r w:rsidRPr="0017717B">
        <w:t>La perforazione in corso di polipectomia</w:t>
      </w:r>
      <w:r w:rsidR="0041648F" w:rsidRPr="0017717B">
        <w:t>,</w:t>
      </w:r>
      <w:r w:rsidRPr="0017717B">
        <w:t xml:space="preserve"> pur essendo una complicanza rara, tende ad aumentare quanto più complessa è la manovra terapeutica. In presenza di una perforazione il trattamento endoscopico (per esempio posizionamento di clip) può essere risolutivo. Qualora il trattamento endoscopico risulti inefficace o non possibile, è indicato il trattamento chirurgico.</w:t>
      </w:r>
    </w:p>
    <w:p w14:paraId="0E80DEDB" w14:textId="420CE9B9" w:rsidR="009C00E4" w:rsidRPr="0017717B" w:rsidRDefault="009C00E4" w:rsidP="0017717B">
      <w:pPr>
        <w:pStyle w:val="Paragrafoelenco"/>
        <w:numPr>
          <w:ilvl w:val="0"/>
          <w:numId w:val="16"/>
        </w:numPr>
        <w:tabs>
          <w:tab w:val="left" w:pos="426"/>
        </w:tabs>
        <w:spacing w:before="115"/>
        <w:ind w:left="426" w:right="1" w:hanging="284"/>
        <w:jc w:val="both"/>
        <w:rPr>
          <w:b/>
          <w:bCs/>
        </w:rPr>
      </w:pPr>
      <w:r w:rsidRPr="00FE7B0D">
        <w:rPr>
          <w:b/>
          <w:bCs/>
        </w:rPr>
        <w:t>emorragia (0.3-6.1%)</w:t>
      </w:r>
      <w:r w:rsidR="0017717B">
        <w:rPr>
          <w:b/>
          <w:bCs/>
        </w:rPr>
        <w:t xml:space="preserve">: </w:t>
      </w:r>
      <w:r w:rsidRPr="0017717B">
        <w:t>L’emorragia post-polipectomia rappresenta la complicanza più frequente.</w:t>
      </w:r>
      <w:r w:rsidR="0041648F" w:rsidRPr="0017717B">
        <w:t xml:space="preserve"> </w:t>
      </w:r>
      <w:r w:rsidRPr="0017717B">
        <w:t xml:space="preserve">In circa l’1.5% dei pazienti sottoposti a polipectomia si verifica un sanguinamento immediato che normalmente viene controllato endoscopicamente. In circa il 2% dei pazienti si può verificare un sanguinamento tardivo che si può presentare sino a 7-30 giorni dopo la procedura. Il ricorso alla chirurgia è raro. </w:t>
      </w:r>
    </w:p>
    <w:p w14:paraId="00F21E9A" w14:textId="0F9E6B54" w:rsidR="009C00E4" w:rsidRPr="0017717B" w:rsidRDefault="009C00E4" w:rsidP="0041648F">
      <w:pPr>
        <w:pStyle w:val="Paragrafoelenco"/>
        <w:numPr>
          <w:ilvl w:val="0"/>
          <w:numId w:val="16"/>
        </w:numPr>
        <w:spacing w:before="115"/>
        <w:ind w:left="426" w:right="1" w:hanging="284"/>
        <w:jc w:val="both"/>
        <w:rPr>
          <w:b/>
          <w:bCs/>
        </w:rPr>
      </w:pPr>
      <w:r w:rsidRPr="00FE7B0D">
        <w:rPr>
          <w:b/>
          <w:bCs/>
        </w:rPr>
        <w:t>ustione trans-murale (0.003-0.1%)</w:t>
      </w:r>
      <w:r w:rsidR="0017717B">
        <w:rPr>
          <w:b/>
          <w:bCs/>
        </w:rPr>
        <w:t xml:space="preserve">: </w:t>
      </w:r>
      <w:r w:rsidRPr="0017717B">
        <w:t xml:space="preserve">È legata alla trasmissione di calore alla parete del viscere dovuta all’applicazione di corrente elettrica. Si manifesta entro 24-36 ore dalla colonscopia con un quadro di febbre, dolore addominale localizzato e leucocitosi (aumento dei globuli bianchi). Di solito si risolve con terapia conservativa mediante idratazione endovena, terapia antibiotica e digiuno fino al termine della </w:t>
      </w:r>
      <w:r w:rsidRPr="0017717B">
        <w:lastRenderedPageBreak/>
        <w:t>sintomatologia. La mortalità può raggiungere lo 0,25%.</w:t>
      </w:r>
    </w:p>
    <w:p w14:paraId="4B882518" w14:textId="4911E8E3" w:rsidR="0017717B" w:rsidRPr="0017717B" w:rsidRDefault="0017717B" w:rsidP="0017717B">
      <w:pPr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17717B">
        <w:rPr>
          <w:rFonts w:ascii="Calibri" w:eastAsia="Calibri" w:hAnsi="Calibri" w:cs="Calibri"/>
          <w:b/>
          <w:bCs/>
          <w:sz w:val="22"/>
          <w:szCs w:val="22"/>
          <w:lang w:bidi="it-IT"/>
        </w:rPr>
        <w:t>TECNICHE AVANZATE DI RESEZIONE ENDOSCOPICA (EMR ed ESD)</w:t>
      </w:r>
    </w:p>
    <w:p w14:paraId="24DD2FF5" w14:textId="0389C082" w:rsidR="0017717B" w:rsidRDefault="0017717B" w:rsidP="0017717B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 xml:space="preserve">L’EMR o mucosectomia (Resezione endoscopica della mucosa e della sottomucosa) e l’ESD (Dissezione endoscopica sottomucosa) sono tecniche avanzate di rimozione di lesioni neoplastiche superficiali. Esistono varie tecniche di esecuzione: quella più comune è la tecnica “lift and cut” che prevede l’iniezione </w:t>
      </w:r>
      <w:r w:rsidR="008E477D">
        <w:rPr>
          <w:rFonts w:ascii="Calibri" w:eastAsia="Calibri" w:hAnsi="Calibri" w:cs="Calibri"/>
          <w:sz w:val="22"/>
          <w:szCs w:val="22"/>
          <w:lang w:bidi="it-IT"/>
        </w:rPr>
        <w:t xml:space="preserve">sottomucosa, mediante ago dedicato, di soluzioni saline o colloidali che sollevano la lesione della muscolatura propria. Successivamente il blocco sollevato viene resecato con ansa diatermica nella EMR o con dissettore libero nella ESD. L’emorragia e la perforazione sono le complicanze più comuni e si verificano con una frequenza superiore a quella osservata nella polipectomia standard. </w:t>
      </w:r>
      <w:r w:rsidR="00340CF0">
        <w:rPr>
          <w:rFonts w:ascii="Calibri" w:eastAsia="Calibri" w:hAnsi="Calibri" w:cs="Calibri"/>
          <w:sz w:val="22"/>
          <w:szCs w:val="22"/>
          <w:lang w:bidi="it-IT"/>
        </w:rPr>
        <w:t>Il sanguinamento è solitamente trattato endoscopicamente, ed in alcuni casi può essere necessario eseguire anche trasfusioni. Il ricorso alla chirurgia è raro. La maggior parte delle perforazioni viene immediatamente diagnosticata e trattata endoscopicamente al momento della procedura. Per entrambe le procedure la mortalità è rara (0,25%).</w:t>
      </w:r>
    </w:p>
    <w:p w14:paraId="56AAEC01" w14:textId="2BE226F5" w:rsidR="00340CF0" w:rsidRPr="00340CF0" w:rsidRDefault="00340CF0" w:rsidP="0017717B">
      <w:pPr>
        <w:jc w:val="both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340CF0">
        <w:rPr>
          <w:rFonts w:ascii="Calibri" w:eastAsia="Calibri" w:hAnsi="Calibri" w:cs="Calibri"/>
          <w:b/>
          <w:bCs/>
          <w:sz w:val="22"/>
          <w:szCs w:val="22"/>
          <w:lang w:bidi="it-IT"/>
        </w:rPr>
        <w:t>TRATTAMENTI EMOSTATICI</w:t>
      </w:r>
    </w:p>
    <w:p w14:paraId="6406ECDC" w14:textId="7C048376" w:rsidR="00340CF0" w:rsidRPr="00FE7B0D" w:rsidRDefault="00340CF0" w:rsidP="0017717B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Hanno come obiettivo l’arresto d</w:t>
      </w:r>
      <w:r w:rsidR="00C43A28">
        <w:rPr>
          <w:rFonts w:ascii="Calibri" w:eastAsia="Calibri" w:hAnsi="Calibri" w:cs="Calibri"/>
          <w:sz w:val="22"/>
          <w:szCs w:val="22"/>
          <w:lang w:bidi="it-IT"/>
        </w:rPr>
        <w:t>i</w:t>
      </w:r>
      <w:r>
        <w:rPr>
          <w:rFonts w:ascii="Calibri" w:eastAsia="Calibri" w:hAnsi="Calibri" w:cs="Calibri"/>
          <w:sz w:val="22"/>
          <w:szCs w:val="22"/>
          <w:lang w:bidi="it-IT"/>
        </w:rPr>
        <w:t xml:space="preserve"> un’emorragia. Le terapie emostatiche includono tecniche termiche, iniettive e meccaniche. E’ possibile la combinazione di due o più tecniche. La perforazione è una complicanza rara dell’emostasi endoscopica. Tuttavia, soprattutto nel trattamento delle angiodisplasie, in particolare quando localizzate a livello del colon destro, la perforazione è stata descritta fino a 2,5% dei casi.</w:t>
      </w:r>
    </w:p>
    <w:p w14:paraId="48663501" w14:textId="77777777" w:rsidR="00E63897" w:rsidRPr="00FE7B0D" w:rsidRDefault="009C00E4" w:rsidP="009C00E4">
      <w:pPr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b/>
          <w:bCs/>
          <w:sz w:val="22"/>
          <w:szCs w:val="22"/>
          <w:lang w:bidi="it-IT"/>
        </w:rPr>
        <w:t>RIMOZIONE DI CORPI ESTRANEI</w:t>
      </w:r>
    </w:p>
    <w:p w14:paraId="140C4F24" w14:textId="77777777" w:rsidR="009C00E4" w:rsidRPr="00FE7B0D" w:rsidRDefault="009C00E4" w:rsidP="009C00E4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In corso di esame è possibile la rimozione di corpi estranei ritenuti nel lume intestinale in seguito a particolari procedure diagnostiche (p.es videocapsula) o introdotti dal paziente accidentalmente o volontariamente. All’occorrenza possono essere utilizzati vari tipi di accessori: pinze da recupero, anse da polipectomia o accessori dedicati quali appositi cestelli o tripodi (pinza a tre branche). La manovra consiste nell’afferrare il corpo estraneo preferibilmente in una delle sue estremità ed estrarlo delicatamente. I corpi estranei possono determinare occlusione intestinale. La complicanza più temuta è la perforazione, che dipende dal tipo di oggetto e dalla modalità di inserimento, traumatica o meno. Particolare attenzione deve essere posta nella gestione dei corpi estranei contenenti droghe (ovuli, condom); infatti la eventuale rottura durante le manovre di rimozione può portare all’assorbimento delle droghe (overdose) con rischio di morte.</w:t>
      </w:r>
    </w:p>
    <w:p w14:paraId="3744E182" w14:textId="77777777" w:rsidR="009C00E4" w:rsidRPr="00FE7B0D" w:rsidRDefault="009C00E4" w:rsidP="009C00E4">
      <w:pPr>
        <w:jc w:val="both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</w:p>
    <w:p w14:paraId="688C125D" w14:textId="0A9EBAFA" w:rsidR="009C00E4" w:rsidRPr="00FE7B0D" w:rsidRDefault="009C00E4" w:rsidP="009C00E4">
      <w:pPr>
        <w:jc w:val="both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b/>
          <w:bCs/>
          <w:sz w:val="22"/>
          <w:szCs w:val="22"/>
          <w:lang w:bidi="it-IT"/>
        </w:rPr>
        <w:t>ALTERNATIVE</w:t>
      </w:r>
      <w:r w:rsidR="00BE0D10" w:rsidRPr="00FE7B0D">
        <w:rPr>
          <w:rFonts w:ascii="Calibri" w:eastAsia="Calibri" w:hAnsi="Calibri" w:cs="Calibri"/>
          <w:b/>
          <w:bCs/>
          <w:sz w:val="22"/>
          <w:szCs w:val="22"/>
          <w:lang w:bidi="it-IT"/>
        </w:rPr>
        <w:t>:</w:t>
      </w:r>
    </w:p>
    <w:p w14:paraId="612FF9E6" w14:textId="3BC66C34" w:rsidR="005B7422" w:rsidRPr="00FE7B0D" w:rsidRDefault="005B7422" w:rsidP="009C00E4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 xml:space="preserve">Clisma opaco, colonscopia virtuale e colonscopia con videocapsula sono attualmente le tecniche alternative alla colonscopia. Le prime due sono tecniche radiologiche, l’ultima è una tecnica endoscopica. Nessuna di queste permette di eseguire biopsie per esame istologico e di effettuare manovre operative (polipectomie, ecc..). </w:t>
      </w:r>
    </w:p>
    <w:p w14:paraId="5DEDF0C8" w14:textId="77777777" w:rsidR="009C00E4" w:rsidRPr="005B7422" w:rsidRDefault="009C00E4" w:rsidP="009C00E4">
      <w:pPr>
        <w:jc w:val="both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</w:p>
    <w:p w14:paraId="3C909E10" w14:textId="77777777" w:rsidR="00916F5C" w:rsidRPr="005B7422" w:rsidRDefault="00916F5C" w:rsidP="00916F5C">
      <w:pPr>
        <w:jc w:val="both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5B7422">
        <w:rPr>
          <w:rFonts w:ascii="Calibri" w:eastAsia="Calibri" w:hAnsi="Calibri" w:cs="Calibri"/>
          <w:b/>
          <w:bCs/>
          <w:sz w:val="22"/>
          <w:szCs w:val="22"/>
          <w:lang w:bidi="it-IT"/>
        </w:rPr>
        <w:t>Osservazioni di rilievo nel caso specifico:</w:t>
      </w:r>
    </w:p>
    <w:p w14:paraId="130CA79A" w14:textId="669930D9" w:rsidR="00916F5C" w:rsidRDefault="00916F5C" w:rsidP="00916F5C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52058" w14:textId="1358B5FD" w:rsidR="005B7422" w:rsidRDefault="00C43A28" w:rsidP="00916F5C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_____________________________________________________________________________________________________________________________________________________________________________</w:t>
      </w:r>
    </w:p>
    <w:p w14:paraId="4F475482" w14:textId="181872BC" w:rsidR="00C43A28" w:rsidRDefault="00C43A28" w:rsidP="00916F5C">
      <w:pPr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2ECEA927" w14:textId="77777777" w:rsidR="00916F5C" w:rsidRPr="00FE7B0D" w:rsidRDefault="00916F5C" w:rsidP="00916F5C">
      <w:pPr>
        <w:tabs>
          <w:tab w:val="left" w:pos="142"/>
        </w:tabs>
        <w:spacing w:line="259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t>Io sottoscritto/a __________________________________________ dichiaro di essere stato/a correttamente informato/a dal/la Dr./Dott.ssa _____________________________________ e di aver compreso lo scopo e la natura del trattamento descritto nel presente modulo.</w:t>
      </w:r>
    </w:p>
    <w:p w14:paraId="493C1522" w14:textId="5D11D9B7" w:rsidR="00916F5C" w:rsidRDefault="00916F5C" w:rsidP="00916F5C">
      <w:pPr>
        <w:spacing w:line="259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E7B0D">
        <w:rPr>
          <w:rFonts w:ascii="Calibri" w:eastAsia="Calibri" w:hAnsi="Calibri" w:cs="Calibri"/>
          <w:sz w:val="22"/>
          <w:szCs w:val="22"/>
          <w:lang w:bidi="it-IT"/>
        </w:rPr>
        <w:lastRenderedPageBreak/>
        <w:t xml:space="preserve">Dichiaro, altresì, di essere stato adeguatamente edotto sui benefici, </w:t>
      </w:r>
      <w:r w:rsidR="00BE0D10" w:rsidRPr="00FE7B0D">
        <w:rPr>
          <w:rFonts w:ascii="Calibri" w:eastAsia="Calibri" w:hAnsi="Calibri" w:cs="Calibri"/>
          <w:sz w:val="22"/>
          <w:szCs w:val="22"/>
          <w:lang w:bidi="it-IT"/>
        </w:rPr>
        <w:t>sui rischi e complicanze</w:t>
      </w:r>
      <w:r w:rsidRPr="00FE7B0D">
        <w:rPr>
          <w:rFonts w:ascii="Calibri" w:eastAsia="Calibri" w:hAnsi="Calibri" w:cs="Calibri"/>
          <w:sz w:val="22"/>
          <w:szCs w:val="22"/>
          <w:lang w:bidi="it-IT"/>
        </w:rPr>
        <w:t xml:space="preserve"> ed alternative al trattamento suindicato. Presto pertanto l’assenso al trattamento che mi è stata descritto e consegnato, per presa visione, con il presente consenso informato.</w:t>
      </w:r>
    </w:p>
    <w:p w14:paraId="10DA19D3" w14:textId="1A1D6D0D" w:rsidR="00340CF0" w:rsidRDefault="00340CF0" w:rsidP="00916F5C">
      <w:pPr>
        <w:spacing w:line="259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75ED4471" w14:textId="2A679026" w:rsidR="00340CF0" w:rsidRDefault="00340CF0" w:rsidP="00916F5C">
      <w:pPr>
        <w:spacing w:line="259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6211C743" w14:textId="5F163DCA" w:rsidR="00340CF0" w:rsidRDefault="00340CF0" w:rsidP="00916F5C">
      <w:pPr>
        <w:spacing w:line="259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734D5029" w14:textId="77777777" w:rsidR="00340CF0" w:rsidRPr="00FE7B0D" w:rsidRDefault="00340CF0" w:rsidP="00916F5C">
      <w:pPr>
        <w:spacing w:line="259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00E66A5D" w14:textId="77777777" w:rsidR="005B7422" w:rsidRDefault="005B7422" w:rsidP="00BE0D10">
      <w:pPr>
        <w:tabs>
          <w:tab w:val="left" w:pos="142"/>
        </w:tabs>
        <w:spacing w:line="259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52BAD57C" w14:textId="2A931472" w:rsidR="00BE0D10" w:rsidRPr="00FE7B0D" w:rsidRDefault="00276400" w:rsidP="00BE0D10">
      <w:pPr>
        <w:tabs>
          <w:tab w:val="left" w:pos="142"/>
        </w:tabs>
        <w:spacing w:line="259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 xml:space="preserve">   </w:t>
      </w:r>
      <w:r w:rsidR="00BE0D10" w:rsidRPr="00FE7B0D">
        <w:rPr>
          <w:rFonts w:ascii="Calibri" w:eastAsia="Calibri" w:hAnsi="Calibri" w:cs="Calibri"/>
          <w:sz w:val="22"/>
          <w:szCs w:val="22"/>
          <w:lang w:bidi="it-IT"/>
        </w:rPr>
        <w:t xml:space="preserve">  Firma del paziente o di chi ne fa le veci</w:t>
      </w:r>
      <w:r w:rsidR="00BE0D10" w:rsidRPr="00FE7B0D">
        <w:rPr>
          <w:rFonts w:ascii="Calibri" w:eastAsia="Calibri" w:hAnsi="Calibri" w:cs="Calibri"/>
          <w:sz w:val="22"/>
          <w:szCs w:val="22"/>
          <w:lang w:bidi="it-IT"/>
        </w:rPr>
        <w:tab/>
        <w:t xml:space="preserve">                                       </w:t>
      </w:r>
      <w:r w:rsidR="005B7422">
        <w:rPr>
          <w:rFonts w:ascii="Calibri" w:eastAsia="Calibri" w:hAnsi="Calibri" w:cs="Calibri"/>
          <w:sz w:val="22"/>
          <w:szCs w:val="22"/>
          <w:lang w:bidi="it-IT"/>
        </w:rPr>
        <w:t xml:space="preserve">  </w:t>
      </w:r>
      <w:r w:rsidR="00BE0D10" w:rsidRPr="00FE7B0D">
        <w:rPr>
          <w:rFonts w:ascii="Calibri" w:eastAsia="Calibri" w:hAnsi="Calibri" w:cs="Calibri"/>
          <w:sz w:val="22"/>
          <w:szCs w:val="22"/>
          <w:lang w:bidi="it-IT"/>
        </w:rPr>
        <w:t>Firma medico-chirurgo</w:t>
      </w:r>
    </w:p>
    <w:p w14:paraId="62D7EB12" w14:textId="65B03E4A" w:rsidR="00BE0D10" w:rsidRPr="00FE7B0D" w:rsidRDefault="00276400" w:rsidP="00B436F3">
      <w:pPr>
        <w:pStyle w:val="Corpotesto"/>
        <w:spacing w:before="3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 xml:space="preserve">                                                                                                                               </w:t>
      </w:r>
      <w:r w:rsidRPr="00FE7B0D">
        <w:rPr>
          <w:rFonts w:ascii="Calibri" w:eastAsia="Calibri" w:hAnsi="Calibri" w:cs="Calibri"/>
          <w:noProof/>
          <w:sz w:val="22"/>
          <w:szCs w:val="22"/>
          <w:lang w:bidi="it-IT"/>
        </w:rPr>
        <mc:AlternateContent>
          <mc:Choice Requires="wpg">
            <w:drawing>
              <wp:inline distT="0" distB="0" distL="0" distR="0" wp14:anchorId="35E952CE" wp14:editId="531A6EBE">
                <wp:extent cx="1794510" cy="18415"/>
                <wp:effectExtent l="0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18415"/>
                          <a:chOff x="0" y="0"/>
                          <a:chExt cx="2826" cy="29"/>
                        </a:xfrm>
                      </wpg:grpSpPr>
                      <wps:wsp>
                        <wps:cNvPr id="5" name="Line 3"/>
                        <wps:cNvCnPr>
                          <a:cxnSpLocks/>
                        </wps:cNvCnPr>
                        <wps:spPr bwMode="auto">
                          <a:xfrm>
                            <a:off x="7" y="7"/>
                            <a:ext cx="2811" cy="14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C5C35" id="Group 2" o:spid="_x0000_s1026" style="width:141.3pt;height:1.45pt;mso-position-horizontal-relative:char;mso-position-vertical-relative:line" coordsize="282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">
                <v:line id="Line 3" o:spid="_x0000_s1027" style="position:absolute;visibility:visible;mso-wrap-style:square" from="7,7" to="2818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" strokeweight=".25292mm">
                  <o:lock v:ext="edit" shapetype="f"/>
                </v:line>
                <w10:anchorlock/>
              </v:group>
            </w:pict>
          </mc:Fallback>
        </mc:AlternateContent>
      </w:r>
      <w:r w:rsidR="00BE0D10" w:rsidRPr="00FE7B0D">
        <w:rPr>
          <w:rFonts w:ascii="Calibri" w:eastAsia="Calibri" w:hAnsi="Calibri" w:cs="Calibri"/>
          <w:noProof/>
          <w:sz w:val="22"/>
          <w:szCs w:val="22"/>
          <w:lang w:bidi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061FF76" wp14:editId="1A921741">
                <wp:simplePos x="0" y="0"/>
                <wp:positionH relativeFrom="page">
                  <wp:posOffset>894715</wp:posOffset>
                </wp:positionH>
                <wp:positionV relativeFrom="paragraph">
                  <wp:posOffset>140970</wp:posOffset>
                </wp:positionV>
                <wp:extent cx="222631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58243" id="Line 4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5pt,11.1pt" to="245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" strokeweight=".25292mm">
                <o:lock v:ext="edit" shapetype="f"/>
                <w10:wrap type="topAndBottom" anchorx="page"/>
              </v:line>
            </w:pict>
          </mc:Fallback>
        </mc:AlternateContent>
      </w:r>
    </w:p>
    <w:sectPr w:rsidR="00BE0D10" w:rsidRPr="00FE7B0D" w:rsidSect="00C121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560" w:left="1134" w:header="85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17837" w14:textId="77777777" w:rsidR="0052517D" w:rsidRDefault="0052517D" w:rsidP="000E5731">
      <w:r>
        <w:separator/>
      </w:r>
    </w:p>
  </w:endnote>
  <w:endnote w:type="continuationSeparator" w:id="0">
    <w:p w14:paraId="6D993206" w14:textId="77777777" w:rsidR="0052517D" w:rsidRDefault="0052517D" w:rsidP="000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4D"/>
    <w:family w:val="auto"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2829586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549282" w14:textId="0A602C8C" w:rsidR="00C121EE" w:rsidRPr="005B7422" w:rsidRDefault="00C121EE" w:rsidP="00C121EE">
            <w:pPr>
              <w:pStyle w:val="Pidipagina"/>
              <w:jc w:val="right"/>
              <w:rPr>
                <w:rFonts w:asciiTheme="minorHAnsi" w:hAnsiTheme="minorHAnsi" w:cstheme="minorHAnsi"/>
              </w:rPr>
            </w:pPr>
            <w:r w:rsidRPr="005B7422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5B74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B74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B74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5B74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5B74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B7422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5B74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B74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B74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5B74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5B74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FAEB63" w14:textId="0EEEB2F8" w:rsidR="004730B4" w:rsidRPr="00401F11" w:rsidRDefault="004730B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57D18" w14:textId="2B1D618C" w:rsidR="004730B4" w:rsidRPr="00E94AB4" w:rsidRDefault="004730B4" w:rsidP="0041648F">
    <w:pPr>
      <w:pStyle w:val="Pidipagina"/>
      <w:jc w:val="right"/>
      <w:rPr>
        <w:rFonts w:ascii="Proxima Nova" w:hAnsi="Proxima Nova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115A" w14:textId="77777777" w:rsidR="0052517D" w:rsidRDefault="0052517D" w:rsidP="000E5731">
      <w:r>
        <w:separator/>
      </w:r>
    </w:p>
  </w:footnote>
  <w:footnote w:type="continuationSeparator" w:id="0">
    <w:p w14:paraId="57478C0C" w14:textId="77777777" w:rsidR="0052517D" w:rsidRDefault="0052517D" w:rsidP="000E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5"/>
      <w:gridCol w:w="5183"/>
      <w:gridCol w:w="2288"/>
    </w:tblGrid>
    <w:tr w:rsidR="00C121EE" w:rsidRPr="003D7E50" w14:paraId="6FFC16A6" w14:textId="77777777" w:rsidTr="007B0F60">
      <w:tc>
        <w:tcPr>
          <w:tcW w:w="213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hideMark/>
        </w:tcPr>
        <w:p w14:paraId="4AE668A5" w14:textId="77777777" w:rsidR="00C121EE" w:rsidRPr="003D7E50" w:rsidRDefault="00C121EE" w:rsidP="00C121EE">
          <w:pPr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noProof/>
              <w:sz w:val="20"/>
            </w:rPr>
            <w:drawing>
              <wp:inline distT="0" distB="0" distL="0" distR="0" wp14:anchorId="34FDD511" wp14:editId="08E3C346">
                <wp:extent cx="812800" cy="897255"/>
                <wp:effectExtent l="0" t="0" r="0" b="0"/>
                <wp:docPr id="2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D7E50">
            <w:t> </w:t>
          </w:r>
        </w:p>
      </w:tc>
      <w:tc>
        <w:tcPr>
          <w:tcW w:w="518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hideMark/>
        </w:tcPr>
        <w:p w14:paraId="04495A49" w14:textId="77777777" w:rsidR="00C121EE" w:rsidRPr="003D7E50" w:rsidRDefault="00C121EE" w:rsidP="00C121EE">
          <w:pPr>
            <w:jc w:val="both"/>
            <w:textAlignment w:val="baseline"/>
            <w:rPr>
              <w:rFonts w:ascii="Segoe UI" w:hAnsi="Segoe UI" w:cs="Segoe UI"/>
              <w:sz w:val="18"/>
              <w:szCs w:val="18"/>
            </w:rPr>
          </w:pPr>
        </w:p>
        <w:p w14:paraId="0D195BEB" w14:textId="77777777" w:rsidR="00C121EE" w:rsidRDefault="00C121EE" w:rsidP="00C121EE">
          <w:pPr>
            <w:spacing w:before="58"/>
            <w:ind w:left="872" w:right="1146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CONSENSO </w:t>
          </w:r>
          <w:r w:rsidRPr="003D7E50">
            <w:rPr>
              <w:b/>
              <w:bCs/>
            </w:rPr>
            <w:t>INFORMATO</w:t>
          </w:r>
          <w:r>
            <w:rPr>
              <w:b/>
            </w:rPr>
            <w:t xml:space="preserve"> COLONSCOPIA </w:t>
          </w:r>
        </w:p>
        <w:p w14:paraId="20E7FF18" w14:textId="77777777" w:rsidR="00C121EE" w:rsidRPr="003D7E50" w:rsidRDefault="00C121EE" w:rsidP="00C121EE">
          <w:pPr>
            <w:spacing w:before="58"/>
            <w:ind w:left="872" w:right="1146"/>
            <w:jc w:val="center"/>
            <w:rPr>
              <w:b/>
            </w:rPr>
          </w:pPr>
        </w:p>
      </w:tc>
      <w:tc>
        <w:tcPr>
          <w:tcW w:w="2288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hideMark/>
        </w:tcPr>
        <w:p w14:paraId="7F320273" w14:textId="77777777" w:rsidR="00C121EE" w:rsidRPr="000A2D32" w:rsidRDefault="00C121EE" w:rsidP="00C121EE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All.70 PG 13 </w:t>
          </w:r>
        </w:p>
        <w:p w14:paraId="3C94E19A" w14:textId="77777777" w:rsidR="00C121EE" w:rsidRPr="000A2D32" w:rsidRDefault="00C121EE" w:rsidP="00C121EE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Redatto da: GL </w:t>
          </w:r>
        </w:p>
        <w:p w14:paraId="369F931C" w14:textId="77777777" w:rsidR="00C121EE" w:rsidRPr="000A2D32" w:rsidRDefault="00C121EE" w:rsidP="00C121EE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Verificato da: RGQ </w:t>
          </w:r>
        </w:p>
        <w:p w14:paraId="22DB5B8F" w14:textId="77777777" w:rsidR="00C121EE" w:rsidRPr="000A2D32" w:rsidRDefault="00C121EE" w:rsidP="00C121EE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Approvato da: DIR </w:t>
          </w:r>
        </w:p>
        <w:p w14:paraId="5454543D" w14:textId="77777777" w:rsidR="00C121EE" w:rsidRPr="000A2D32" w:rsidRDefault="00C121EE" w:rsidP="00C121EE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Edizione: 00 - Revisione: 00 </w:t>
          </w:r>
        </w:p>
        <w:p w14:paraId="42309974" w14:textId="77777777" w:rsidR="00C121EE" w:rsidRPr="000A2D32" w:rsidRDefault="00C121EE" w:rsidP="00C121EE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Data di emissione: 30/03/2021</w:t>
          </w:r>
        </w:p>
        <w:p w14:paraId="5D7BC331" w14:textId="77777777" w:rsidR="00C121EE" w:rsidRPr="003D7E50" w:rsidRDefault="00C121EE" w:rsidP="00C121EE">
          <w:pPr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3D7E50">
            <w:rPr>
              <w:sz w:val="16"/>
              <w:szCs w:val="16"/>
            </w:rPr>
            <w:t> </w:t>
          </w:r>
        </w:p>
      </w:tc>
    </w:tr>
  </w:tbl>
  <w:p w14:paraId="3DBF4B95" w14:textId="77777777" w:rsidR="00C121EE" w:rsidRDefault="00C121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5"/>
      <w:gridCol w:w="5183"/>
      <w:gridCol w:w="2288"/>
    </w:tblGrid>
    <w:tr w:rsidR="000A2D32" w:rsidRPr="003D7E50" w14:paraId="543F9581" w14:textId="77777777" w:rsidTr="007B0F60">
      <w:tc>
        <w:tcPr>
          <w:tcW w:w="213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hideMark/>
        </w:tcPr>
        <w:p w14:paraId="572E125F" w14:textId="77777777" w:rsidR="000A2D32" w:rsidRPr="003D7E50" w:rsidRDefault="000A2D32" w:rsidP="000A2D32">
          <w:pPr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noProof/>
              <w:sz w:val="20"/>
            </w:rPr>
            <w:drawing>
              <wp:inline distT="0" distB="0" distL="0" distR="0" wp14:anchorId="265759AB" wp14:editId="0017CCDE">
                <wp:extent cx="812800" cy="897255"/>
                <wp:effectExtent l="0" t="0" r="0" b="0"/>
                <wp:docPr id="17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D7E50">
            <w:t> </w:t>
          </w:r>
        </w:p>
      </w:tc>
      <w:tc>
        <w:tcPr>
          <w:tcW w:w="518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hideMark/>
        </w:tcPr>
        <w:p w14:paraId="1D839D5B" w14:textId="77777777" w:rsidR="000A2D32" w:rsidRPr="003D7E50" w:rsidRDefault="000A2D32" w:rsidP="000A2D32">
          <w:pPr>
            <w:jc w:val="both"/>
            <w:textAlignment w:val="baseline"/>
            <w:rPr>
              <w:rFonts w:ascii="Segoe UI" w:hAnsi="Segoe UI" w:cs="Segoe UI"/>
              <w:sz w:val="18"/>
              <w:szCs w:val="18"/>
            </w:rPr>
          </w:pPr>
        </w:p>
        <w:p w14:paraId="5D38738A" w14:textId="77777777" w:rsidR="000A2D32" w:rsidRDefault="000A2D32" w:rsidP="000A2D32">
          <w:pPr>
            <w:spacing w:before="58"/>
            <w:ind w:left="872" w:right="1146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CONSENSO </w:t>
          </w:r>
          <w:r w:rsidRPr="003D7E50">
            <w:rPr>
              <w:b/>
              <w:bCs/>
            </w:rPr>
            <w:t>INFORMATO</w:t>
          </w:r>
          <w:r>
            <w:rPr>
              <w:b/>
            </w:rPr>
            <w:t xml:space="preserve"> COLONSCOPIA </w:t>
          </w:r>
        </w:p>
        <w:p w14:paraId="59B559E9" w14:textId="77777777" w:rsidR="000A2D32" w:rsidRPr="003D7E50" w:rsidRDefault="000A2D32" w:rsidP="000A2D32">
          <w:pPr>
            <w:spacing w:before="58"/>
            <w:ind w:left="872" w:right="1146"/>
            <w:jc w:val="center"/>
            <w:rPr>
              <w:b/>
            </w:rPr>
          </w:pPr>
        </w:p>
      </w:tc>
      <w:tc>
        <w:tcPr>
          <w:tcW w:w="2288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hideMark/>
        </w:tcPr>
        <w:p w14:paraId="1D472540" w14:textId="77777777" w:rsidR="000A2D32" w:rsidRPr="000A2D32" w:rsidRDefault="000A2D32" w:rsidP="000A2D32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All.70 PG 13 </w:t>
          </w:r>
        </w:p>
        <w:p w14:paraId="4D6CC76A" w14:textId="77777777" w:rsidR="000A2D32" w:rsidRPr="000A2D32" w:rsidRDefault="000A2D32" w:rsidP="000A2D32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Redatto da: GL </w:t>
          </w:r>
        </w:p>
        <w:p w14:paraId="612B0C11" w14:textId="77777777" w:rsidR="000A2D32" w:rsidRPr="000A2D32" w:rsidRDefault="000A2D32" w:rsidP="000A2D32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Verificato da: RGQ </w:t>
          </w:r>
        </w:p>
        <w:p w14:paraId="4B7ACADB" w14:textId="77777777" w:rsidR="000A2D32" w:rsidRPr="000A2D32" w:rsidRDefault="000A2D32" w:rsidP="000A2D32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Approvato da: DIR </w:t>
          </w:r>
        </w:p>
        <w:p w14:paraId="40C515DD" w14:textId="77777777" w:rsidR="000A2D32" w:rsidRPr="000A2D32" w:rsidRDefault="000A2D32" w:rsidP="000A2D32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Edizione: 00 - Revisione: 00 </w:t>
          </w:r>
        </w:p>
        <w:p w14:paraId="63E4A51C" w14:textId="77777777" w:rsidR="000A2D32" w:rsidRPr="000A2D32" w:rsidRDefault="000A2D32" w:rsidP="000A2D32">
          <w:pPr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0A2D32">
            <w:rPr>
              <w:rFonts w:asciiTheme="minorHAnsi" w:hAnsiTheme="minorHAnsi" w:cstheme="minorHAnsi"/>
              <w:sz w:val="16"/>
              <w:szCs w:val="16"/>
            </w:rPr>
            <w:t>Data di emissione: 30/03/2021</w:t>
          </w:r>
        </w:p>
        <w:p w14:paraId="559F1D9B" w14:textId="77777777" w:rsidR="000A2D32" w:rsidRPr="003D7E50" w:rsidRDefault="000A2D32" w:rsidP="000A2D32">
          <w:pPr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3D7E50">
            <w:rPr>
              <w:sz w:val="16"/>
              <w:szCs w:val="16"/>
            </w:rPr>
            <w:t> </w:t>
          </w:r>
        </w:p>
      </w:tc>
    </w:tr>
  </w:tbl>
  <w:p w14:paraId="33631CA7" w14:textId="7B6E7291" w:rsidR="004730B4" w:rsidRDefault="004730B4" w:rsidP="00081B5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63pt;height:9.7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5B189C"/>
    <w:multiLevelType w:val="hybridMultilevel"/>
    <w:tmpl w:val="BB9CFFD8"/>
    <w:lvl w:ilvl="0" w:tplc="04100003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15A63B3"/>
    <w:multiLevelType w:val="hybridMultilevel"/>
    <w:tmpl w:val="1526A6BE"/>
    <w:lvl w:ilvl="0" w:tplc="44CCAD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02C4"/>
    <w:multiLevelType w:val="hybridMultilevel"/>
    <w:tmpl w:val="92902688"/>
    <w:lvl w:ilvl="0" w:tplc="2E2CC3AC">
      <w:start w:val="1"/>
      <w:numFmt w:val="bullet"/>
      <w:lvlText w:val=""/>
      <w:lvlJc w:val="left"/>
      <w:pPr>
        <w:tabs>
          <w:tab w:val="num" w:pos="417"/>
        </w:tabs>
        <w:ind w:left="417" w:firstLine="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0DA8"/>
    <w:multiLevelType w:val="hybridMultilevel"/>
    <w:tmpl w:val="36F6D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0047"/>
    <w:multiLevelType w:val="hybridMultilevel"/>
    <w:tmpl w:val="A97A52AE"/>
    <w:lvl w:ilvl="0" w:tplc="44CCAD7C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565D3"/>
    <w:multiLevelType w:val="hybridMultilevel"/>
    <w:tmpl w:val="AC8E3DB2"/>
    <w:lvl w:ilvl="0" w:tplc="0DFCF716">
      <w:numFmt w:val="bullet"/>
      <w:lvlText w:val="-"/>
      <w:lvlJc w:val="left"/>
      <w:pPr>
        <w:ind w:left="602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2FB91338"/>
    <w:multiLevelType w:val="hybridMultilevel"/>
    <w:tmpl w:val="24A42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3915"/>
    <w:multiLevelType w:val="hybridMultilevel"/>
    <w:tmpl w:val="2A382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B48F1"/>
    <w:multiLevelType w:val="hybridMultilevel"/>
    <w:tmpl w:val="F2B0E15C"/>
    <w:lvl w:ilvl="0" w:tplc="1A0EF3D2">
      <w:numFmt w:val="bullet"/>
      <w:lvlText w:val="▪"/>
      <w:lvlJc w:val="left"/>
      <w:pPr>
        <w:ind w:left="112" w:hanging="13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3F0FC52">
      <w:numFmt w:val="bullet"/>
      <w:lvlText w:val="•"/>
      <w:lvlJc w:val="left"/>
      <w:pPr>
        <w:ind w:left="1121" w:hanging="131"/>
      </w:pPr>
      <w:rPr>
        <w:rFonts w:hint="default"/>
        <w:lang w:val="it-IT" w:eastAsia="it-IT" w:bidi="it-IT"/>
      </w:rPr>
    </w:lvl>
    <w:lvl w:ilvl="2" w:tplc="A2D0A57A">
      <w:numFmt w:val="bullet"/>
      <w:lvlText w:val="•"/>
      <w:lvlJc w:val="left"/>
      <w:pPr>
        <w:ind w:left="2123" w:hanging="131"/>
      </w:pPr>
      <w:rPr>
        <w:rFonts w:hint="default"/>
        <w:lang w:val="it-IT" w:eastAsia="it-IT" w:bidi="it-IT"/>
      </w:rPr>
    </w:lvl>
    <w:lvl w:ilvl="3" w:tplc="C2501614">
      <w:numFmt w:val="bullet"/>
      <w:lvlText w:val="•"/>
      <w:lvlJc w:val="left"/>
      <w:pPr>
        <w:ind w:left="3125" w:hanging="131"/>
      </w:pPr>
      <w:rPr>
        <w:rFonts w:hint="default"/>
        <w:lang w:val="it-IT" w:eastAsia="it-IT" w:bidi="it-IT"/>
      </w:rPr>
    </w:lvl>
    <w:lvl w:ilvl="4" w:tplc="5EE6F96E">
      <w:numFmt w:val="bullet"/>
      <w:lvlText w:val="•"/>
      <w:lvlJc w:val="left"/>
      <w:pPr>
        <w:ind w:left="4127" w:hanging="131"/>
      </w:pPr>
      <w:rPr>
        <w:rFonts w:hint="default"/>
        <w:lang w:val="it-IT" w:eastAsia="it-IT" w:bidi="it-IT"/>
      </w:rPr>
    </w:lvl>
    <w:lvl w:ilvl="5" w:tplc="91DC2980">
      <w:numFmt w:val="bullet"/>
      <w:lvlText w:val="•"/>
      <w:lvlJc w:val="left"/>
      <w:pPr>
        <w:ind w:left="5129" w:hanging="131"/>
      </w:pPr>
      <w:rPr>
        <w:rFonts w:hint="default"/>
        <w:lang w:val="it-IT" w:eastAsia="it-IT" w:bidi="it-IT"/>
      </w:rPr>
    </w:lvl>
    <w:lvl w:ilvl="6" w:tplc="9F4A87D4">
      <w:numFmt w:val="bullet"/>
      <w:lvlText w:val="•"/>
      <w:lvlJc w:val="left"/>
      <w:pPr>
        <w:ind w:left="6131" w:hanging="131"/>
      </w:pPr>
      <w:rPr>
        <w:rFonts w:hint="default"/>
        <w:lang w:val="it-IT" w:eastAsia="it-IT" w:bidi="it-IT"/>
      </w:rPr>
    </w:lvl>
    <w:lvl w:ilvl="7" w:tplc="6BC84BB8">
      <w:numFmt w:val="bullet"/>
      <w:lvlText w:val="•"/>
      <w:lvlJc w:val="left"/>
      <w:pPr>
        <w:ind w:left="7133" w:hanging="131"/>
      </w:pPr>
      <w:rPr>
        <w:rFonts w:hint="default"/>
        <w:lang w:val="it-IT" w:eastAsia="it-IT" w:bidi="it-IT"/>
      </w:rPr>
    </w:lvl>
    <w:lvl w:ilvl="8" w:tplc="3EF226E4">
      <w:numFmt w:val="bullet"/>
      <w:lvlText w:val="•"/>
      <w:lvlJc w:val="left"/>
      <w:pPr>
        <w:ind w:left="8135" w:hanging="131"/>
      </w:pPr>
      <w:rPr>
        <w:rFonts w:hint="default"/>
        <w:lang w:val="it-IT" w:eastAsia="it-IT" w:bidi="it-IT"/>
      </w:rPr>
    </w:lvl>
  </w:abstractNum>
  <w:abstractNum w:abstractNumId="11" w15:restartNumberingAfterBreak="0">
    <w:nsid w:val="407F1873"/>
    <w:multiLevelType w:val="hybridMultilevel"/>
    <w:tmpl w:val="536E35A8"/>
    <w:lvl w:ilvl="0" w:tplc="E7925678"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02E5A16">
      <w:numFmt w:val="bullet"/>
      <w:lvlText w:val="•"/>
      <w:lvlJc w:val="left"/>
      <w:pPr>
        <w:ind w:left="1297" w:hanging="360"/>
      </w:pPr>
      <w:rPr>
        <w:rFonts w:hint="default"/>
        <w:lang w:val="it-IT" w:eastAsia="it-IT" w:bidi="it-IT"/>
      </w:rPr>
    </w:lvl>
    <w:lvl w:ilvl="2" w:tplc="97820424">
      <w:numFmt w:val="bullet"/>
      <w:lvlText w:val="•"/>
      <w:lvlJc w:val="left"/>
      <w:pPr>
        <w:ind w:left="2227" w:hanging="360"/>
      </w:pPr>
      <w:rPr>
        <w:rFonts w:hint="default"/>
        <w:lang w:val="it-IT" w:eastAsia="it-IT" w:bidi="it-IT"/>
      </w:rPr>
    </w:lvl>
    <w:lvl w:ilvl="3" w:tplc="18F01778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4" w:tplc="D6CA7A26">
      <w:numFmt w:val="bullet"/>
      <w:lvlText w:val="•"/>
      <w:lvlJc w:val="left"/>
      <w:pPr>
        <w:ind w:left="4087" w:hanging="360"/>
      </w:pPr>
      <w:rPr>
        <w:rFonts w:hint="default"/>
        <w:lang w:val="it-IT" w:eastAsia="it-IT" w:bidi="it-IT"/>
      </w:rPr>
    </w:lvl>
    <w:lvl w:ilvl="5" w:tplc="8D14BB98">
      <w:numFmt w:val="bullet"/>
      <w:lvlText w:val="•"/>
      <w:lvlJc w:val="left"/>
      <w:pPr>
        <w:ind w:left="5017" w:hanging="360"/>
      </w:pPr>
      <w:rPr>
        <w:rFonts w:hint="default"/>
        <w:lang w:val="it-IT" w:eastAsia="it-IT" w:bidi="it-IT"/>
      </w:rPr>
    </w:lvl>
    <w:lvl w:ilvl="6" w:tplc="59FA3FDC">
      <w:numFmt w:val="bullet"/>
      <w:lvlText w:val="•"/>
      <w:lvlJc w:val="left"/>
      <w:pPr>
        <w:ind w:left="5947" w:hanging="360"/>
      </w:pPr>
      <w:rPr>
        <w:rFonts w:hint="default"/>
        <w:lang w:val="it-IT" w:eastAsia="it-IT" w:bidi="it-IT"/>
      </w:rPr>
    </w:lvl>
    <w:lvl w:ilvl="7" w:tplc="2FA67E68">
      <w:numFmt w:val="bullet"/>
      <w:lvlText w:val="•"/>
      <w:lvlJc w:val="left"/>
      <w:pPr>
        <w:ind w:left="6877" w:hanging="360"/>
      </w:pPr>
      <w:rPr>
        <w:rFonts w:hint="default"/>
        <w:lang w:val="it-IT" w:eastAsia="it-IT" w:bidi="it-IT"/>
      </w:rPr>
    </w:lvl>
    <w:lvl w:ilvl="8" w:tplc="CF2E9CD0">
      <w:numFmt w:val="bullet"/>
      <w:lvlText w:val="•"/>
      <w:lvlJc w:val="left"/>
      <w:pPr>
        <w:ind w:left="7807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40E13415"/>
    <w:multiLevelType w:val="hybridMultilevel"/>
    <w:tmpl w:val="145EBD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92E2B"/>
    <w:multiLevelType w:val="hybridMultilevel"/>
    <w:tmpl w:val="F8322C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806FAF"/>
    <w:multiLevelType w:val="hybridMultilevel"/>
    <w:tmpl w:val="A570342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20462C"/>
    <w:multiLevelType w:val="hybridMultilevel"/>
    <w:tmpl w:val="E14CA8E8"/>
    <w:lvl w:ilvl="0" w:tplc="AD401CEE">
      <w:numFmt w:val="bullet"/>
      <w:pStyle w:val="Puntoelenco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08DB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C44B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4E34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F484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AAF2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86F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2247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DA37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DF4B7F"/>
    <w:multiLevelType w:val="hybridMultilevel"/>
    <w:tmpl w:val="A0E64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E012D"/>
    <w:multiLevelType w:val="hybridMultilevel"/>
    <w:tmpl w:val="10421674"/>
    <w:lvl w:ilvl="0" w:tplc="44CCAD7C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C2C12E1"/>
    <w:multiLevelType w:val="hybridMultilevel"/>
    <w:tmpl w:val="F8CE8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565D8"/>
    <w:multiLevelType w:val="hybridMultilevel"/>
    <w:tmpl w:val="99BEA68C"/>
    <w:lvl w:ilvl="0" w:tplc="44CCAD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B4F24"/>
    <w:multiLevelType w:val="hybridMultilevel"/>
    <w:tmpl w:val="C9EAA8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5D825AA"/>
    <w:multiLevelType w:val="hybridMultilevel"/>
    <w:tmpl w:val="81CA85D6"/>
    <w:lvl w:ilvl="0" w:tplc="C11CCD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18"/>
  </w:num>
  <w:num w:numId="13">
    <w:abstractNumId w:val="21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17"/>
  </w:num>
  <w:num w:numId="19">
    <w:abstractNumId w:val="14"/>
  </w:num>
  <w:num w:numId="20">
    <w:abstractNumId w:val="6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8A"/>
    <w:rsid w:val="00001488"/>
    <w:rsid w:val="00004B6F"/>
    <w:rsid w:val="00006FDC"/>
    <w:rsid w:val="000076E0"/>
    <w:rsid w:val="0001205B"/>
    <w:rsid w:val="000125EA"/>
    <w:rsid w:val="00014449"/>
    <w:rsid w:val="00017B4C"/>
    <w:rsid w:val="000200E6"/>
    <w:rsid w:val="0003172A"/>
    <w:rsid w:val="00043B1E"/>
    <w:rsid w:val="00051605"/>
    <w:rsid w:val="000530C9"/>
    <w:rsid w:val="000648B9"/>
    <w:rsid w:val="00070871"/>
    <w:rsid w:val="000709AC"/>
    <w:rsid w:val="00081B5B"/>
    <w:rsid w:val="000829EE"/>
    <w:rsid w:val="00094EFA"/>
    <w:rsid w:val="000A031A"/>
    <w:rsid w:val="000A269D"/>
    <w:rsid w:val="000A2D32"/>
    <w:rsid w:val="000D3EDB"/>
    <w:rsid w:val="000D4012"/>
    <w:rsid w:val="000E04A6"/>
    <w:rsid w:val="000E4B69"/>
    <w:rsid w:val="000E5731"/>
    <w:rsid w:val="0010113B"/>
    <w:rsid w:val="00101CE2"/>
    <w:rsid w:val="001026C3"/>
    <w:rsid w:val="00105B95"/>
    <w:rsid w:val="0012029C"/>
    <w:rsid w:val="00121B95"/>
    <w:rsid w:val="00123460"/>
    <w:rsid w:val="00123F2C"/>
    <w:rsid w:val="00127CB9"/>
    <w:rsid w:val="00142E90"/>
    <w:rsid w:val="00153518"/>
    <w:rsid w:val="00155633"/>
    <w:rsid w:val="001620BC"/>
    <w:rsid w:val="00162366"/>
    <w:rsid w:val="00163C6D"/>
    <w:rsid w:val="00176F61"/>
    <w:rsid w:val="0017717B"/>
    <w:rsid w:val="00180C85"/>
    <w:rsid w:val="00184F52"/>
    <w:rsid w:val="00186E6A"/>
    <w:rsid w:val="00193458"/>
    <w:rsid w:val="00195466"/>
    <w:rsid w:val="001A38C1"/>
    <w:rsid w:val="001A6F69"/>
    <w:rsid w:val="001C19F3"/>
    <w:rsid w:val="001D19D5"/>
    <w:rsid w:val="001D5353"/>
    <w:rsid w:val="001D66B8"/>
    <w:rsid w:val="001F044F"/>
    <w:rsid w:val="001F2E3C"/>
    <w:rsid w:val="001F41F8"/>
    <w:rsid w:val="0020429B"/>
    <w:rsid w:val="00213954"/>
    <w:rsid w:val="00215ADF"/>
    <w:rsid w:val="00215D44"/>
    <w:rsid w:val="00225098"/>
    <w:rsid w:val="002270A6"/>
    <w:rsid w:val="00235DBF"/>
    <w:rsid w:val="002401B5"/>
    <w:rsid w:val="0024540C"/>
    <w:rsid w:val="0025680D"/>
    <w:rsid w:val="0026390E"/>
    <w:rsid w:val="002728D3"/>
    <w:rsid w:val="00276400"/>
    <w:rsid w:val="0028285D"/>
    <w:rsid w:val="00291246"/>
    <w:rsid w:val="0029149C"/>
    <w:rsid w:val="00291F5C"/>
    <w:rsid w:val="002A2FD0"/>
    <w:rsid w:val="002A50B7"/>
    <w:rsid w:val="002A526C"/>
    <w:rsid w:val="002B1BBD"/>
    <w:rsid w:val="002C0AE2"/>
    <w:rsid w:val="002C2F85"/>
    <w:rsid w:val="002D49E0"/>
    <w:rsid w:val="002E31EC"/>
    <w:rsid w:val="002F2169"/>
    <w:rsid w:val="00316C4F"/>
    <w:rsid w:val="0032641F"/>
    <w:rsid w:val="003323E1"/>
    <w:rsid w:val="00335943"/>
    <w:rsid w:val="00340CF0"/>
    <w:rsid w:val="003500C5"/>
    <w:rsid w:val="0035249E"/>
    <w:rsid w:val="0036231E"/>
    <w:rsid w:val="00362E7C"/>
    <w:rsid w:val="00366CA4"/>
    <w:rsid w:val="0036752D"/>
    <w:rsid w:val="00390EF3"/>
    <w:rsid w:val="003A079E"/>
    <w:rsid w:val="003B143E"/>
    <w:rsid w:val="003C19DB"/>
    <w:rsid w:val="003C640D"/>
    <w:rsid w:val="003C6A97"/>
    <w:rsid w:val="003D40CC"/>
    <w:rsid w:val="003D5B24"/>
    <w:rsid w:val="003D6464"/>
    <w:rsid w:val="003E2B0E"/>
    <w:rsid w:val="003F0868"/>
    <w:rsid w:val="003F5053"/>
    <w:rsid w:val="003F55A3"/>
    <w:rsid w:val="00400E75"/>
    <w:rsid w:val="00401F11"/>
    <w:rsid w:val="0041648F"/>
    <w:rsid w:val="00421ED7"/>
    <w:rsid w:val="00434AC1"/>
    <w:rsid w:val="004626DA"/>
    <w:rsid w:val="00464B8D"/>
    <w:rsid w:val="004730B4"/>
    <w:rsid w:val="00473A93"/>
    <w:rsid w:val="0047404A"/>
    <w:rsid w:val="004755C1"/>
    <w:rsid w:val="00481942"/>
    <w:rsid w:val="00487322"/>
    <w:rsid w:val="004876AF"/>
    <w:rsid w:val="004917F4"/>
    <w:rsid w:val="00497809"/>
    <w:rsid w:val="004A077A"/>
    <w:rsid w:val="004A3471"/>
    <w:rsid w:val="004B3637"/>
    <w:rsid w:val="004C1FD9"/>
    <w:rsid w:val="004C38FA"/>
    <w:rsid w:val="004C45C3"/>
    <w:rsid w:val="004D103A"/>
    <w:rsid w:val="004D5E0C"/>
    <w:rsid w:val="004E5DA0"/>
    <w:rsid w:val="004F1A4D"/>
    <w:rsid w:val="00500E0E"/>
    <w:rsid w:val="00505B14"/>
    <w:rsid w:val="00517380"/>
    <w:rsid w:val="005231D4"/>
    <w:rsid w:val="00524682"/>
    <w:rsid w:val="00525162"/>
    <w:rsid w:val="0052516E"/>
    <w:rsid w:val="0052517D"/>
    <w:rsid w:val="00530AAF"/>
    <w:rsid w:val="005315D5"/>
    <w:rsid w:val="00534DB1"/>
    <w:rsid w:val="00543965"/>
    <w:rsid w:val="00545461"/>
    <w:rsid w:val="005469A2"/>
    <w:rsid w:val="00552ADE"/>
    <w:rsid w:val="00562515"/>
    <w:rsid w:val="00566FF0"/>
    <w:rsid w:val="00572717"/>
    <w:rsid w:val="005756B1"/>
    <w:rsid w:val="005774C9"/>
    <w:rsid w:val="005908D7"/>
    <w:rsid w:val="00592229"/>
    <w:rsid w:val="00596BFE"/>
    <w:rsid w:val="005A2CF0"/>
    <w:rsid w:val="005A6D8A"/>
    <w:rsid w:val="005B4F4F"/>
    <w:rsid w:val="005B7422"/>
    <w:rsid w:val="005D15C0"/>
    <w:rsid w:val="005D6D95"/>
    <w:rsid w:val="005F073E"/>
    <w:rsid w:val="005F4D02"/>
    <w:rsid w:val="0060468B"/>
    <w:rsid w:val="006102AB"/>
    <w:rsid w:val="00614193"/>
    <w:rsid w:val="00615977"/>
    <w:rsid w:val="00623B1B"/>
    <w:rsid w:val="00651424"/>
    <w:rsid w:val="006564CA"/>
    <w:rsid w:val="00666F1E"/>
    <w:rsid w:val="00675E4C"/>
    <w:rsid w:val="00676B10"/>
    <w:rsid w:val="00683B65"/>
    <w:rsid w:val="00686A65"/>
    <w:rsid w:val="00693FDB"/>
    <w:rsid w:val="00695294"/>
    <w:rsid w:val="006A63F2"/>
    <w:rsid w:val="006B5C06"/>
    <w:rsid w:val="006D1A08"/>
    <w:rsid w:val="006F0055"/>
    <w:rsid w:val="006F2716"/>
    <w:rsid w:val="00705465"/>
    <w:rsid w:val="00705F3E"/>
    <w:rsid w:val="00710E75"/>
    <w:rsid w:val="00723431"/>
    <w:rsid w:val="007305A0"/>
    <w:rsid w:val="007378B3"/>
    <w:rsid w:val="00740D3F"/>
    <w:rsid w:val="0074107D"/>
    <w:rsid w:val="007420F9"/>
    <w:rsid w:val="0074260A"/>
    <w:rsid w:val="00746F76"/>
    <w:rsid w:val="007561D2"/>
    <w:rsid w:val="007570AD"/>
    <w:rsid w:val="0076054C"/>
    <w:rsid w:val="00763FCB"/>
    <w:rsid w:val="00764322"/>
    <w:rsid w:val="00764B0C"/>
    <w:rsid w:val="007650D6"/>
    <w:rsid w:val="00784691"/>
    <w:rsid w:val="00795B16"/>
    <w:rsid w:val="007A0156"/>
    <w:rsid w:val="007A0F10"/>
    <w:rsid w:val="007A3F41"/>
    <w:rsid w:val="007B26BD"/>
    <w:rsid w:val="007C2A4D"/>
    <w:rsid w:val="007D1021"/>
    <w:rsid w:val="007E6EC2"/>
    <w:rsid w:val="008007FB"/>
    <w:rsid w:val="008016CA"/>
    <w:rsid w:val="00801AB3"/>
    <w:rsid w:val="0080283F"/>
    <w:rsid w:val="00805919"/>
    <w:rsid w:val="00815F6E"/>
    <w:rsid w:val="008174EB"/>
    <w:rsid w:val="00826B09"/>
    <w:rsid w:val="008365D7"/>
    <w:rsid w:val="00837959"/>
    <w:rsid w:val="0084022A"/>
    <w:rsid w:val="0084448A"/>
    <w:rsid w:val="008541BF"/>
    <w:rsid w:val="0087647E"/>
    <w:rsid w:val="00877ABA"/>
    <w:rsid w:val="008914CB"/>
    <w:rsid w:val="00893BF9"/>
    <w:rsid w:val="008A254D"/>
    <w:rsid w:val="008B002B"/>
    <w:rsid w:val="008B7D94"/>
    <w:rsid w:val="008C2F76"/>
    <w:rsid w:val="008C4637"/>
    <w:rsid w:val="008D2C5A"/>
    <w:rsid w:val="008D67A2"/>
    <w:rsid w:val="008D698C"/>
    <w:rsid w:val="008E26F9"/>
    <w:rsid w:val="008E477D"/>
    <w:rsid w:val="008E6389"/>
    <w:rsid w:val="008F09E0"/>
    <w:rsid w:val="008F29A4"/>
    <w:rsid w:val="008F7723"/>
    <w:rsid w:val="00905F41"/>
    <w:rsid w:val="009127D8"/>
    <w:rsid w:val="009154AD"/>
    <w:rsid w:val="00916F5C"/>
    <w:rsid w:val="0091711E"/>
    <w:rsid w:val="0093036F"/>
    <w:rsid w:val="0093394C"/>
    <w:rsid w:val="00937275"/>
    <w:rsid w:val="00946336"/>
    <w:rsid w:val="009474E8"/>
    <w:rsid w:val="0095221E"/>
    <w:rsid w:val="00953DC9"/>
    <w:rsid w:val="00956352"/>
    <w:rsid w:val="009602FF"/>
    <w:rsid w:val="00963FFC"/>
    <w:rsid w:val="00966C33"/>
    <w:rsid w:val="009674B3"/>
    <w:rsid w:val="009946B3"/>
    <w:rsid w:val="009A1FC5"/>
    <w:rsid w:val="009A213C"/>
    <w:rsid w:val="009A5981"/>
    <w:rsid w:val="009A5F64"/>
    <w:rsid w:val="009A6910"/>
    <w:rsid w:val="009A76CD"/>
    <w:rsid w:val="009B0734"/>
    <w:rsid w:val="009B2F54"/>
    <w:rsid w:val="009C00E4"/>
    <w:rsid w:val="009C0101"/>
    <w:rsid w:val="009C6F55"/>
    <w:rsid w:val="009D4B8A"/>
    <w:rsid w:val="009D6409"/>
    <w:rsid w:val="009E0EA4"/>
    <w:rsid w:val="009E11B4"/>
    <w:rsid w:val="009E24D6"/>
    <w:rsid w:val="009E3020"/>
    <w:rsid w:val="009E4AE2"/>
    <w:rsid w:val="009F3FE4"/>
    <w:rsid w:val="009F4D5B"/>
    <w:rsid w:val="00A012CA"/>
    <w:rsid w:val="00A01B52"/>
    <w:rsid w:val="00A117A0"/>
    <w:rsid w:val="00A1346C"/>
    <w:rsid w:val="00A13F58"/>
    <w:rsid w:val="00A169E0"/>
    <w:rsid w:val="00A17821"/>
    <w:rsid w:val="00A26EB5"/>
    <w:rsid w:val="00A30258"/>
    <w:rsid w:val="00A302DF"/>
    <w:rsid w:val="00A34E87"/>
    <w:rsid w:val="00A36DB4"/>
    <w:rsid w:val="00A415C7"/>
    <w:rsid w:val="00A5061C"/>
    <w:rsid w:val="00A51312"/>
    <w:rsid w:val="00A62458"/>
    <w:rsid w:val="00A6392F"/>
    <w:rsid w:val="00A639FF"/>
    <w:rsid w:val="00A65601"/>
    <w:rsid w:val="00A92C40"/>
    <w:rsid w:val="00AB6546"/>
    <w:rsid w:val="00AC778E"/>
    <w:rsid w:val="00AC7C85"/>
    <w:rsid w:val="00AD20E4"/>
    <w:rsid w:val="00AD2699"/>
    <w:rsid w:val="00AD3351"/>
    <w:rsid w:val="00AE3747"/>
    <w:rsid w:val="00AF1B6B"/>
    <w:rsid w:val="00AF1F45"/>
    <w:rsid w:val="00AF3907"/>
    <w:rsid w:val="00B00A68"/>
    <w:rsid w:val="00B1068F"/>
    <w:rsid w:val="00B1377A"/>
    <w:rsid w:val="00B16AC3"/>
    <w:rsid w:val="00B27EFF"/>
    <w:rsid w:val="00B3192F"/>
    <w:rsid w:val="00B31DBA"/>
    <w:rsid w:val="00B34EA3"/>
    <w:rsid w:val="00B41F27"/>
    <w:rsid w:val="00B42F95"/>
    <w:rsid w:val="00B436F3"/>
    <w:rsid w:val="00B45773"/>
    <w:rsid w:val="00B51B2D"/>
    <w:rsid w:val="00B54962"/>
    <w:rsid w:val="00B568BB"/>
    <w:rsid w:val="00B60161"/>
    <w:rsid w:val="00B800B6"/>
    <w:rsid w:val="00B804E9"/>
    <w:rsid w:val="00B90E74"/>
    <w:rsid w:val="00B9357B"/>
    <w:rsid w:val="00B94359"/>
    <w:rsid w:val="00B9611F"/>
    <w:rsid w:val="00B97E86"/>
    <w:rsid w:val="00BB5174"/>
    <w:rsid w:val="00BC28FB"/>
    <w:rsid w:val="00BC69BF"/>
    <w:rsid w:val="00BC6FD5"/>
    <w:rsid w:val="00BD51A8"/>
    <w:rsid w:val="00BD7DFA"/>
    <w:rsid w:val="00BE0B77"/>
    <w:rsid w:val="00BE0D10"/>
    <w:rsid w:val="00BF6192"/>
    <w:rsid w:val="00C02194"/>
    <w:rsid w:val="00C03006"/>
    <w:rsid w:val="00C11614"/>
    <w:rsid w:val="00C121EE"/>
    <w:rsid w:val="00C13B0B"/>
    <w:rsid w:val="00C152C5"/>
    <w:rsid w:val="00C2338E"/>
    <w:rsid w:val="00C2691E"/>
    <w:rsid w:val="00C31A32"/>
    <w:rsid w:val="00C35C12"/>
    <w:rsid w:val="00C41BCC"/>
    <w:rsid w:val="00C43A28"/>
    <w:rsid w:val="00C43BD1"/>
    <w:rsid w:val="00C511B8"/>
    <w:rsid w:val="00C511F2"/>
    <w:rsid w:val="00C530FE"/>
    <w:rsid w:val="00C551AC"/>
    <w:rsid w:val="00C60FD5"/>
    <w:rsid w:val="00C63FA5"/>
    <w:rsid w:val="00C64171"/>
    <w:rsid w:val="00C65DED"/>
    <w:rsid w:val="00C75257"/>
    <w:rsid w:val="00C76A3B"/>
    <w:rsid w:val="00C77DC7"/>
    <w:rsid w:val="00CA3A35"/>
    <w:rsid w:val="00CA7D3C"/>
    <w:rsid w:val="00CB3332"/>
    <w:rsid w:val="00CB5025"/>
    <w:rsid w:val="00CC394A"/>
    <w:rsid w:val="00CC457F"/>
    <w:rsid w:val="00CD0E17"/>
    <w:rsid w:val="00CD4194"/>
    <w:rsid w:val="00CE2862"/>
    <w:rsid w:val="00CE29C2"/>
    <w:rsid w:val="00D07258"/>
    <w:rsid w:val="00D12062"/>
    <w:rsid w:val="00D13C27"/>
    <w:rsid w:val="00D201E4"/>
    <w:rsid w:val="00D22708"/>
    <w:rsid w:val="00D267E3"/>
    <w:rsid w:val="00D30D2A"/>
    <w:rsid w:val="00D422DC"/>
    <w:rsid w:val="00D43576"/>
    <w:rsid w:val="00D509E3"/>
    <w:rsid w:val="00D57B2C"/>
    <w:rsid w:val="00D64124"/>
    <w:rsid w:val="00D70AAF"/>
    <w:rsid w:val="00D718C6"/>
    <w:rsid w:val="00D773C9"/>
    <w:rsid w:val="00D80EEA"/>
    <w:rsid w:val="00D93D6A"/>
    <w:rsid w:val="00D944E1"/>
    <w:rsid w:val="00D950DD"/>
    <w:rsid w:val="00D95FC2"/>
    <w:rsid w:val="00D96642"/>
    <w:rsid w:val="00DA69B1"/>
    <w:rsid w:val="00DA7397"/>
    <w:rsid w:val="00DB52A9"/>
    <w:rsid w:val="00DB733B"/>
    <w:rsid w:val="00DC14D9"/>
    <w:rsid w:val="00DC45F8"/>
    <w:rsid w:val="00DD5D74"/>
    <w:rsid w:val="00DE13B3"/>
    <w:rsid w:val="00DF162B"/>
    <w:rsid w:val="00DF1660"/>
    <w:rsid w:val="00DF5B65"/>
    <w:rsid w:val="00E11519"/>
    <w:rsid w:val="00E15C74"/>
    <w:rsid w:val="00E2350A"/>
    <w:rsid w:val="00E2399A"/>
    <w:rsid w:val="00E26123"/>
    <w:rsid w:val="00E27494"/>
    <w:rsid w:val="00E32F97"/>
    <w:rsid w:val="00E466FD"/>
    <w:rsid w:val="00E54B56"/>
    <w:rsid w:val="00E55D0A"/>
    <w:rsid w:val="00E56380"/>
    <w:rsid w:val="00E5754E"/>
    <w:rsid w:val="00E63024"/>
    <w:rsid w:val="00E63897"/>
    <w:rsid w:val="00E63F35"/>
    <w:rsid w:val="00E71E9A"/>
    <w:rsid w:val="00E7607B"/>
    <w:rsid w:val="00E76CFF"/>
    <w:rsid w:val="00E76FE9"/>
    <w:rsid w:val="00E774E4"/>
    <w:rsid w:val="00E84EDD"/>
    <w:rsid w:val="00E904C4"/>
    <w:rsid w:val="00E94AB4"/>
    <w:rsid w:val="00EA7BF4"/>
    <w:rsid w:val="00EB292B"/>
    <w:rsid w:val="00EB31FE"/>
    <w:rsid w:val="00EB3D41"/>
    <w:rsid w:val="00EB3FBD"/>
    <w:rsid w:val="00ED106A"/>
    <w:rsid w:val="00ED70B9"/>
    <w:rsid w:val="00EE13B7"/>
    <w:rsid w:val="00EE3FAC"/>
    <w:rsid w:val="00EF6606"/>
    <w:rsid w:val="00EF6824"/>
    <w:rsid w:val="00F0360C"/>
    <w:rsid w:val="00F04A79"/>
    <w:rsid w:val="00F11E8F"/>
    <w:rsid w:val="00F33AFD"/>
    <w:rsid w:val="00F35745"/>
    <w:rsid w:val="00F35A61"/>
    <w:rsid w:val="00F61535"/>
    <w:rsid w:val="00F61819"/>
    <w:rsid w:val="00F67B72"/>
    <w:rsid w:val="00F77ACC"/>
    <w:rsid w:val="00F808D2"/>
    <w:rsid w:val="00F81001"/>
    <w:rsid w:val="00F8526F"/>
    <w:rsid w:val="00F864FA"/>
    <w:rsid w:val="00F92195"/>
    <w:rsid w:val="00F965A1"/>
    <w:rsid w:val="00FA62C3"/>
    <w:rsid w:val="00FB0FDF"/>
    <w:rsid w:val="00FC445C"/>
    <w:rsid w:val="00FC4701"/>
    <w:rsid w:val="00FD7848"/>
    <w:rsid w:val="00FE0743"/>
    <w:rsid w:val="00FE1F44"/>
    <w:rsid w:val="00FE28A2"/>
    <w:rsid w:val="00FE7B0D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5BCC23"/>
  <w15:docId w15:val="{CE75813E-0DD5-4FF7-A7F5-2C19092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9E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ind w:left="5664" w:firstLine="708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line="360" w:lineRule="auto"/>
      <w:ind w:left="5664" w:firstLine="708"/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line="360" w:lineRule="auto"/>
    </w:pPr>
    <w:rPr>
      <w:sz w:val="3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styleId="Rientrocorpodeltesto">
    <w:name w:val="Body Text Indent"/>
    <w:basedOn w:val="Normale"/>
    <w:pPr>
      <w:ind w:left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1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6417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nhideWhenUsed/>
    <w:rsid w:val="000E57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E5731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57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5731"/>
    <w:rPr>
      <w:lang w:eastAsia="ar-SA"/>
    </w:rPr>
  </w:style>
  <w:style w:type="character" w:styleId="Collegamentoipertestuale">
    <w:name w:val="Hyperlink"/>
    <w:uiPriority w:val="99"/>
    <w:unhideWhenUsed/>
    <w:rsid w:val="00710E75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10E75"/>
    <w:rPr>
      <w:color w:val="605E5C"/>
      <w:shd w:val="clear" w:color="auto" w:fill="E1DFDD"/>
    </w:rPr>
  </w:style>
  <w:style w:type="character" w:customStyle="1" w:styleId="m197973511729351976apple-converted-space">
    <w:name w:val="m_197973511729351976apple-converted-space"/>
    <w:basedOn w:val="Carpredefinitoparagrafo"/>
    <w:rsid w:val="00F92195"/>
  </w:style>
  <w:style w:type="paragraph" w:styleId="Puntoelenco">
    <w:name w:val="List Bullet"/>
    <w:basedOn w:val="Normale"/>
    <w:semiHidden/>
    <w:rsid w:val="006D1A08"/>
    <w:pPr>
      <w:numPr>
        <w:numId w:val="4"/>
      </w:numPr>
      <w:tabs>
        <w:tab w:val="left" w:pos="-1152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 Narrow" w:hAnsi="Arial Narrow"/>
      <w:color w:val="000000"/>
      <w:szCs w:val="20"/>
    </w:rPr>
  </w:style>
  <w:style w:type="paragraph" w:customStyle="1" w:styleId="Corpodeltesto211">
    <w:name w:val="Corpo del testo 211"/>
    <w:basedOn w:val="Normale"/>
    <w:rsid w:val="006D1A08"/>
    <w:pPr>
      <w:overflowPunct w:val="0"/>
      <w:autoSpaceDE w:val="0"/>
      <w:autoSpaceDN w:val="0"/>
      <w:adjustRightInd w:val="0"/>
      <w:ind w:left="111"/>
      <w:jc w:val="both"/>
      <w:textAlignment w:val="baseline"/>
    </w:pPr>
    <w:rPr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A3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A3471"/>
    <w:rPr>
      <w:rFonts w:ascii="Courier New" w:hAnsi="Courier New" w:cs="Courier New"/>
    </w:rPr>
  </w:style>
  <w:style w:type="paragraph" w:styleId="Paragrafoelenco">
    <w:name w:val="List Paragraph"/>
    <w:basedOn w:val="Normale"/>
    <w:uiPriority w:val="1"/>
    <w:qFormat/>
    <w:rsid w:val="00946336"/>
    <w:pPr>
      <w:widowControl w:val="0"/>
      <w:autoSpaceDE w:val="0"/>
      <w:autoSpaceDN w:val="0"/>
      <w:ind w:left="833" w:hanging="361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Potestobase">
    <w:name w:val="Po testo base"/>
    <w:basedOn w:val="Normale"/>
    <w:rsid w:val="0076054C"/>
    <w:pPr>
      <w:ind w:firstLine="340"/>
      <w:jc w:val="both"/>
    </w:pPr>
    <w:rPr>
      <w:rFonts w:ascii="Garamond" w:hAnsi="Garamond" w:cs="Garamond"/>
      <w:sz w:val="22"/>
      <w:szCs w:val="22"/>
      <w:lang w:eastAsia="ar-SA"/>
    </w:rPr>
  </w:style>
  <w:style w:type="paragraph" w:customStyle="1" w:styleId="POtitolo">
    <w:name w:val="PO titolo"/>
    <w:basedOn w:val="Normale"/>
    <w:next w:val="Potestobase"/>
    <w:rsid w:val="0076054C"/>
    <w:pPr>
      <w:spacing w:before="240" w:after="300"/>
      <w:jc w:val="both"/>
    </w:pPr>
    <w:rPr>
      <w:rFonts w:ascii="Adobe Caslon Pro Bold" w:eastAsia="MS PGothic" w:hAnsi="Adobe Caslon Pro Bold" w:cs="Adobe Caslon Pro Bold"/>
      <w:b/>
      <w:color w:val="FF6600"/>
      <w:kern w:val="1"/>
      <w:sz w:val="40"/>
      <w:szCs w:val="40"/>
      <w:lang w:val="x-none" w:eastAsia="ar-SA"/>
    </w:rPr>
  </w:style>
  <w:style w:type="paragraph" w:customStyle="1" w:styleId="Normale1">
    <w:name w:val="Normale1"/>
    <w:rsid w:val="0076054C"/>
    <w:pPr>
      <w:suppressAutoHyphens/>
    </w:pPr>
    <w:rPr>
      <w:rFonts w:eastAsia="ヒラギノ角ゴ Pro W3"/>
      <w:color w:val="000000"/>
      <w:kern w:val="1"/>
      <w:lang w:eastAsia="hi-IN" w:bidi="hi-IN"/>
    </w:rPr>
  </w:style>
  <w:style w:type="paragraph" w:customStyle="1" w:styleId="Paragrafoelenco1">
    <w:name w:val="Paragrafo elenco1"/>
    <w:basedOn w:val="Normale"/>
    <w:rsid w:val="0076054C"/>
    <w:pPr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8E26F9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NormaleWeb">
    <w:name w:val="Normal (Web)"/>
    <w:basedOn w:val="Normale"/>
    <w:uiPriority w:val="99"/>
    <w:unhideWhenUsed/>
    <w:rsid w:val="003F5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27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7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2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4" ma:contentTypeDescription="Creare un nuovo documento." ma:contentTypeScope="" ma:versionID="ad7961907304f00efc27f58f31d961e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a9d8e029079f50bde45a25902f928af5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B3857-8561-4E71-9B36-F65C472E6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22CB7-745A-46E7-BC4E-2BA14DA1DB64}"/>
</file>

<file path=customXml/itemProps3.xml><?xml version="1.0" encoding="utf-8"?>
<ds:datastoreItem xmlns:ds="http://schemas.openxmlformats.org/officeDocument/2006/customXml" ds:itemID="{772D87CA-DB68-4719-9A61-1D8BC083590C}"/>
</file>

<file path=customXml/itemProps4.xml><?xml version="1.0" encoding="utf-8"?>
<ds:datastoreItem xmlns:ds="http://schemas.openxmlformats.org/officeDocument/2006/customXml" ds:itemID="{91B4051D-1DF3-4BBE-9913-454FE3915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Delta View s</vt:lpstr>
    </vt:vector>
  </TitlesOfParts>
  <Company>Hewlett-Packard Company</Company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View s</dc:title>
  <dc:creator>loredana</dc:creator>
  <cp:lastModifiedBy>Renata Barbaro</cp:lastModifiedBy>
  <cp:revision>22</cp:revision>
  <cp:lastPrinted>2020-08-07T10:36:00Z</cp:lastPrinted>
  <dcterms:created xsi:type="dcterms:W3CDTF">2021-04-02T11:19:00Z</dcterms:created>
  <dcterms:modified xsi:type="dcterms:W3CDTF">2021-04-07T08:11:00Z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