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6284" w14:textId="77777777" w:rsidR="000635B9" w:rsidRPr="007E71A6" w:rsidRDefault="000635B9" w:rsidP="00794D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744E64" w14:textId="1499D9F0" w:rsidR="007E71A6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Reggio Emilia, _________________</w:t>
      </w:r>
    </w:p>
    <w:p w14:paraId="6D4A7C97" w14:textId="5D9A93BB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2255E9" w14:textId="5F216D86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Sig.__________________________</w:t>
      </w:r>
    </w:p>
    <w:p w14:paraId="2073A7D1" w14:textId="3668D09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170D64" w14:textId="7777777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FC36E7" w14:textId="77777777" w:rsidR="00B91F84" w:rsidRDefault="00B91F84" w:rsidP="00371460">
      <w:pPr>
        <w:spacing w:after="0" w:line="240" w:lineRule="auto"/>
        <w:jc w:val="both"/>
        <w:rPr>
          <w:rFonts w:cs="Tahoma"/>
          <w:lang w:eastAsia="ja-JP"/>
        </w:rPr>
      </w:pPr>
    </w:p>
    <w:p w14:paraId="63B9864B" w14:textId="3A7D38E3" w:rsidR="00371460" w:rsidRPr="00371460" w:rsidRDefault="00371460" w:rsidP="00371460">
      <w:pPr>
        <w:spacing w:after="0" w:line="240" w:lineRule="auto"/>
        <w:jc w:val="both"/>
        <w:rPr>
          <w:rFonts w:cs="Times"/>
          <w:lang w:eastAsia="ja-JP"/>
        </w:rPr>
      </w:pPr>
      <w:r w:rsidRPr="00371460">
        <w:rPr>
          <w:rFonts w:cs="Tahoma"/>
          <w:lang w:eastAsia="ja-JP"/>
        </w:rPr>
        <w:t xml:space="preserve">Gentile paziente, in questo modulo vengono riassunti i concetti a Lei già oralmente espressi nel corso della visita, precisandoli e definendoli nelle loro linee essenziali, in modo da avere anche per iscritto il Suo assenso alla esecuzione </w:t>
      </w:r>
      <w:r w:rsidR="00B765D2">
        <w:rPr>
          <w:rFonts w:cs="Tahoma"/>
          <w:lang w:eastAsia="ja-JP"/>
        </w:rPr>
        <w:t>della procedura chirurgica</w:t>
      </w:r>
      <w:r w:rsidRPr="00371460">
        <w:rPr>
          <w:rFonts w:cs="Tahoma"/>
          <w:lang w:eastAsia="ja-JP"/>
        </w:rPr>
        <w:t xml:space="preserve"> prescritt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 xml:space="preserve"> e concordat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>.</w:t>
      </w:r>
    </w:p>
    <w:p w14:paraId="5F61CEAD" w14:textId="77777777" w:rsidR="00371460" w:rsidRPr="00371460" w:rsidRDefault="00371460" w:rsidP="00371460">
      <w:pPr>
        <w:jc w:val="both"/>
        <w:rPr>
          <w:rFonts w:cs="Times"/>
          <w:b/>
          <w:lang w:eastAsia="ja-JP"/>
        </w:rPr>
      </w:pPr>
    </w:p>
    <w:p w14:paraId="00F46756" w14:textId="77777777" w:rsidR="00043A20" w:rsidRDefault="00043A20" w:rsidP="00043A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1D645981" w14:textId="28A1D494" w:rsidR="000635B9" w:rsidRDefault="000635B9" w:rsidP="003D20BB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bookmarkStart w:id="0" w:name="_Hlk29375182"/>
      <w:r w:rsidRPr="003D20BB">
        <w:rPr>
          <w:rFonts w:cs="Tahoma"/>
          <w:lang w:eastAsia="ja-JP"/>
        </w:rPr>
        <w:t xml:space="preserve">La densitometria ossea o MOC (Mineralometria Ossea Computerizzata) </w:t>
      </w:r>
      <w:bookmarkEnd w:id="0"/>
      <w:r w:rsidRPr="003D20BB">
        <w:rPr>
          <w:rFonts w:cs="Tahoma"/>
          <w:lang w:eastAsia="ja-JP"/>
        </w:rPr>
        <w:t xml:space="preserve">è una tecnica diagnostica non invasiva che permette di misurare la densità minerale (BMD) ed il contenuto minerale (BMC) di un segmento osseo. Questa tecnica è particolarmente utile nella diagnosi e nel monitoraggio dell'osteoporosi. I soggetti affetti da osteoporosi sono esposti ad un serio rischio di subire fratture anche in seguito a traumi di lieve entità. In generale, il rischio di frattura è tanto maggiore quanto minore è la massa ossea. I dati ottenuti attraverso la densitometria ossea </w:t>
      </w:r>
      <w:r w:rsidR="00283EBE">
        <w:rPr>
          <w:rFonts w:cs="Tahoma"/>
          <w:lang w:eastAsia="ja-JP"/>
        </w:rPr>
        <w:t>vengono esaminati</w:t>
      </w:r>
      <w:r w:rsidRPr="003D20BB">
        <w:rPr>
          <w:rFonts w:cs="Tahoma"/>
          <w:lang w:eastAsia="ja-JP"/>
        </w:rPr>
        <w:t xml:space="preserve"> in rapporto ad età, sesso e</w:t>
      </w:r>
      <w:r w:rsidR="00043A20">
        <w:rPr>
          <w:rFonts w:cs="Tahoma"/>
          <w:lang w:eastAsia="ja-JP"/>
        </w:rPr>
        <w:t xml:space="preserve">d </w:t>
      </w:r>
      <w:r w:rsidRPr="003D20BB">
        <w:rPr>
          <w:rFonts w:cs="Tahoma"/>
          <w:lang w:eastAsia="ja-JP"/>
        </w:rPr>
        <w:t>eventuale predisposizione genetica.</w:t>
      </w:r>
      <w:r w:rsidR="003D20BB">
        <w:rPr>
          <w:rFonts w:cs="Tahoma"/>
          <w:lang w:eastAsia="ja-JP"/>
        </w:rPr>
        <w:t xml:space="preserve"> </w:t>
      </w:r>
      <w:r w:rsidRPr="003D20BB">
        <w:rPr>
          <w:rFonts w:cs="Tahoma"/>
          <w:lang w:eastAsia="ja-JP"/>
        </w:rPr>
        <w:t>La densitometria è un esame totalmente innocuo, non invasivo e di facile esecuzione, della durata di circa 15 minuti.</w:t>
      </w:r>
    </w:p>
    <w:p w14:paraId="245B06C1" w14:textId="77777777" w:rsidR="00043A20" w:rsidRDefault="00043A20" w:rsidP="00043A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DESCRIZIONE DEL TRATTAMENTO:</w:t>
      </w:r>
    </w:p>
    <w:p w14:paraId="69AC740C" w14:textId="51CCF60F" w:rsidR="000635B9" w:rsidRDefault="008A2C04" w:rsidP="00335AB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  <w:r w:rsidRPr="008A2C04">
        <w:rPr>
          <w:rFonts w:asciiTheme="minorHAnsi" w:eastAsiaTheme="minorHAnsi" w:hAnsiTheme="minorHAnsi" w:cs="Tahoma"/>
          <w:sz w:val="22"/>
          <w:szCs w:val="22"/>
          <w:lang w:eastAsia="ja-JP"/>
        </w:rPr>
        <w:t>La tecnica più diffusa per l'esecuzione della MOC è la cosiddetta DEXA che utilizza un apparecchio a raggi X. I siti scheletrici di elezione per l'effettuazione della MOC sono la colonna vertebrale lombare e il collo del femore. La dose di radiazione assorbita dal paziente per</w:t>
      </w:r>
      <w:r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 </w:t>
      </w:r>
      <w:r w:rsidRPr="008A2C04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l'esecuzione </w:t>
      </w:r>
      <w:r>
        <w:rPr>
          <w:rFonts w:asciiTheme="minorHAnsi" w:eastAsiaTheme="minorHAnsi" w:hAnsiTheme="minorHAnsi" w:cs="Tahoma"/>
          <w:sz w:val="22"/>
          <w:szCs w:val="22"/>
          <w:lang w:eastAsia="ja-JP"/>
        </w:rPr>
        <w:t>dell’</w:t>
      </w:r>
      <w:r w:rsidRPr="008A2C04">
        <w:rPr>
          <w:rFonts w:asciiTheme="minorHAnsi" w:eastAsiaTheme="minorHAnsi" w:hAnsiTheme="minorHAnsi" w:cs="Tahoma"/>
          <w:sz w:val="22"/>
          <w:szCs w:val="22"/>
          <w:lang w:eastAsia="ja-JP"/>
        </w:rPr>
        <w:t>esame è minima, pari a circa un decimo di quella assorbita in un viaggio aereo. Il paziente viene steso sul lettino sotto il quale è situata la sorgente di raggi X,</w:t>
      </w:r>
      <w:r w:rsidR="00D840E9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 rimuovendo dal campo di elezione gioielli ed altri oggetti metallici.</w:t>
      </w:r>
      <w:r w:rsidR="0017388A" w:rsidRPr="00D840E9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 </w:t>
      </w:r>
      <w:r w:rsidR="000635B9" w:rsidRPr="00D840E9">
        <w:rPr>
          <w:rFonts w:asciiTheme="minorHAnsi" w:eastAsiaTheme="minorHAnsi" w:hAnsiTheme="minorHAnsi" w:cs="Tahoma"/>
          <w:sz w:val="22"/>
          <w:szCs w:val="22"/>
          <w:lang w:eastAsia="ja-JP"/>
        </w:rPr>
        <w:t>Una volta concluso l’esame</w:t>
      </w:r>
      <w:r w:rsidR="00D840E9" w:rsidRPr="00D840E9">
        <w:rPr>
          <w:rFonts w:asciiTheme="minorHAnsi" w:eastAsiaTheme="minorHAnsi" w:hAnsiTheme="minorHAnsi" w:cs="Tahoma"/>
          <w:sz w:val="22"/>
          <w:szCs w:val="22"/>
          <w:lang w:eastAsia="ja-JP"/>
        </w:rPr>
        <w:t>,</w:t>
      </w:r>
      <w:r w:rsidR="000635B9" w:rsidRPr="00D840E9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 il paziente potrà riprendere le normali attività.</w:t>
      </w:r>
    </w:p>
    <w:p w14:paraId="3F087F3B" w14:textId="77777777" w:rsidR="00D840E9" w:rsidRPr="00D840E9" w:rsidRDefault="00D840E9" w:rsidP="00D840E9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</w:p>
    <w:p w14:paraId="52E6B2A6" w14:textId="77777777" w:rsidR="00D840E9" w:rsidRDefault="00D840E9" w:rsidP="00D840E9">
      <w:pPr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</w:pPr>
      <w:r w:rsidRPr="00D840E9">
        <w:rPr>
          <w:rFonts w:ascii="Calibri" w:hAnsi="Calibri" w:cs="Calibri"/>
          <w:b/>
          <w:bCs/>
        </w:rPr>
        <w:t xml:space="preserve">POSSIBILI COMPLICANZE DEL TRATTAMENTO </w:t>
      </w:r>
    </w:p>
    <w:p w14:paraId="1B65DEF8" w14:textId="6EF3B89E" w:rsidR="00335AB1" w:rsidRPr="00BC347E" w:rsidRDefault="000635B9" w:rsidP="00335AB1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 w:rsidRPr="00D840E9">
        <w:rPr>
          <w:rFonts w:cs="Tahoma"/>
          <w:lang w:eastAsia="ja-JP"/>
        </w:rPr>
        <w:t>Come ogni esame radiografico è fondamentale che sia effettuato esclusivamente sotto prescrizione medica ed è sconsigliato alle donne in stato di gravidanza, nonostante</w:t>
      </w:r>
      <w:r w:rsidRPr="00BC347E">
        <w:rPr>
          <w:rFonts w:cs="Tahoma"/>
          <w:lang w:eastAsia="ja-JP"/>
        </w:rPr>
        <w:t xml:space="preserve"> la dose di radiazioni emesse sia bassissima.</w:t>
      </w:r>
      <w:r w:rsidR="00335AB1">
        <w:rPr>
          <w:rFonts w:cs="Tahoma"/>
          <w:lang w:eastAsia="ja-JP"/>
        </w:rPr>
        <w:t xml:space="preserve"> </w:t>
      </w:r>
      <w:r w:rsidR="00335AB1">
        <w:t xml:space="preserve">Pur essendo basato sull’esposizione ai raggi X, l’esame densitometrico comporta l’utilizzo di una bassissima dose di radiazioni (1 </w:t>
      </w:r>
      <w:proofErr w:type="spellStart"/>
      <w:r w:rsidR="00335AB1">
        <w:t>mRem</w:t>
      </w:r>
      <w:proofErr w:type="spellEnd"/>
      <w:r w:rsidR="00335AB1">
        <w:t>), con un impatto meno significativo sui tessuti. L’assenza di rischi sia per il paziente che per l'operatore rende possibile ripetere l'esame a breve distanza di tempo ed è anche per questo che, nei pazienti che sono affetti da osteoporosi, si consiglia di ripetere il controllo ad intervalli regolari.</w:t>
      </w:r>
    </w:p>
    <w:p w14:paraId="3C91DFB1" w14:textId="77777777" w:rsidR="00335AB1" w:rsidRDefault="00335AB1" w:rsidP="00E9412A">
      <w:pPr>
        <w:spacing w:after="0" w:line="240" w:lineRule="auto"/>
        <w:jc w:val="both"/>
        <w:rPr>
          <w:rFonts w:cstheme="minorHAnsi"/>
          <w:b/>
        </w:rPr>
      </w:pPr>
    </w:p>
    <w:p w14:paraId="16388EE8" w14:textId="16FE806F" w:rsidR="007E71A6" w:rsidRPr="007E71A6" w:rsidRDefault="00F61469" w:rsidP="00E9412A">
      <w:pPr>
        <w:spacing w:after="0" w:line="240" w:lineRule="auto"/>
        <w:jc w:val="both"/>
        <w:rPr>
          <w:rFonts w:cstheme="minorHAnsi"/>
          <w:b/>
        </w:rPr>
      </w:pPr>
      <w:r w:rsidRPr="00E9412A">
        <w:rPr>
          <w:rFonts w:cstheme="minorHAnsi"/>
          <w:b/>
        </w:rPr>
        <w:t xml:space="preserve">I BENEFICI </w:t>
      </w:r>
      <w:r w:rsidR="00E9412A">
        <w:rPr>
          <w:rFonts w:cstheme="minorHAnsi"/>
          <w:b/>
        </w:rPr>
        <w:t>DEL TRATTAMENTO</w:t>
      </w:r>
    </w:p>
    <w:p w14:paraId="5785B1A3" w14:textId="77777777" w:rsidR="001D62B4" w:rsidRDefault="001D62B4" w:rsidP="001D62B4">
      <w:pPr>
        <w:pStyle w:val="Paragrafoelenco"/>
        <w:spacing w:after="0" w:line="240" w:lineRule="auto"/>
        <w:ind w:left="0"/>
        <w:jc w:val="both"/>
        <w:rPr>
          <w:rFonts w:cstheme="minorHAnsi"/>
          <w:b/>
        </w:rPr>
      </w:pPr>
    </w:p>
    <w:p w14:paraId="298AB437" w14:textId="1A5A59FB" w:rsidR="0065634E" w:rsidRDefault="0065634E" w:rsidP="0065634E">
      <w:pPr>
        <w:jc w:val="both"/>
        <w:rPr>
          <w:rFonts w:cstheme="minorHAnsi"/>
        </w:rPr>
      </w:pPr>
      <w:r>
        <w:rPr>
          <w:rFonts w:cstheme="minorHAnsi"/>
        </w:rPr>
        <w:t>Esistono soluzioni alternative all’intervento di vasectomia rappresentate dalla presenza in commercio di</w:t>
      </w:r>
      <w:r w:rsidRPr="001D62B4">
        <w:rPr>
          <w:rFonts w:cstheme="minorHAnsi"/>
        </w:rPr>
        <w:t xml:space="preserve"> </w:t>
      </w:r>
      <w:r w:rsidRPr="001D62B4">
        <w:rPr>
          <w:rFonts w:cstheme="minorHAnsi"/>
          <w:bCs/>
        </w:rPr>
        <w:t xml:space="preserve">altri </w:t>
      </w:r>
      <w:hyperlink r:id="rId11" w:history="1">
        <w:r w:rsidRPr="0065634E">
          <w:rPr>
            <w:rFonts w:cstheme="minorHAnsi"/>
          </w:rPr>
          <w:t>metodi di contraccezione</w:t>
        </w:r>
      </w:hyperlink>
      <w:r w:rsidRPr="0065634E">
        <w:rPr>
          <w:rFonts w:cstheme="minorHAnsi"/>
        </w:rPr>
        <w:t xml:space="preserve"> sufficientemente efficaci e non permanenti.</w:t>
      </w:r>
    </w:p>
    <w:p w14:paraId="3C581564" w14:textId="77777777" w:rsidR="00B91F84" w:rsidRDefault="00B91F84" w:rsidP="001758C8">
      <w:pPr>
        <w:jc w:val="both"/>
        <w:rPr>
          <w:rFonts w:cstheme="minorHAnsi"/>
          <w:b/>
        </w:rPr>
      </w:pPr>
    </w:p>
    <w:p w14:paraId="1AD1DE50" w14:textId="16D31EFA" w:rsidR="001758C8" w:rsidRPr="0042133F" w:rsidRDefault="001758C8" w:rsidP="001758C8">
      <w:pPr>
        <w:jc w:val="both"/>
        <w:rPr>
          <w:rFonts w:cstheme="minorHAnsi"/>
          <w:b/>
        </w:rPr>
      </w:pPr>
      <w:r w:rsidRPr="0042133F">
        <w:rPr>
          <w:rFonts w:cstheme="minorHAnsi"/>
          <w:b/>
        </w:rPr>
        <w:lastRenderedPageBreak/>
        <w:t>Osservazioni di rilievo nel caso specifico:</w:t>
      </w:r>
    </w:p>
    <w:p w14:paraId="004A745D" w14:textId="77777777" w:rsidR="001758C8" w:rsidRDefault="001758C8" w:rsidP="001758C8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ECA55" w14:textId="77777777" w:rsidR="001758C8" w:rsidRDefault="001758C8" w:rsidP="001A6601">
      <w:pPr>
        <w:tabs>
          <w:tab w:val="left" w:pos="142"/>
        </w:tabs>
        <w:spacing w:after="0" w:line="259" w:lineRule="auto"/>
        <w:jc w:val="both"/>
        <w:rPr>
          <w:rFonts w:cstheme="minorHAnsi"/>
        </w:rPr>
      </w:pPr>
    </w:p>
    <w:p w14:paraId="268501B6" w14:textId="0D1F77D1" w:rsidR="00C634FD" w:rsidRPr="00D47442" w:rsidRDefault="00C634FD" w:rsidP="00FC36E8">
      <w:pPr>
        <w:spacing w:after="16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Io sottoscritto ______________________</w:t>
      </w:r>
      <w:r w:rsidR="005165D9">
        <w:rPr>
          <w:rFonts w:cstheme="minorHAnsi"/>
        </w:rPr>
        <w:t>____________________</w:t>
      </w:r>
      <w:r w:rsidRPr="00D47442">
        <w:rPr>
          <w:rFonts w:cstheme="minorHAnsi"/>
        </w:rPr>
        <w:t xml:space="preserve"> dichiar</w:t>
      </w:r>
      <w:r>
        <w:rPr>
          <w:rFonts w:cstheme="minorHAnsi"/>
        </w:rPr>
        <w:t>o</w:t>
      </w:r>
      <w:r w:rsidRPr="00D47442">
        <w:rPr>
          <w:rFonts w:cstheme="minorHAnsi"/>
        </w:rPr>
        <w:t xml:space="preserve"> di essere stato correttamente informato dal</w:t>
      </w:r>
      <w:r w:rsidR="00FC36E8">
        <w:rPr>
          <w:rFonts w:cstheme="minorHAnsi"/>
        </w:rPr>
        <w:t xml:space="preserve"> Dr. </w:t>
      </w:r>
      <w:r w:rsidR="00FF006C">
        <w:rPr>
          <w:rFonts w:cstheme="minorHAnsi"/>
        </w:rPr>
        <w:t>_______________________________</w:t>
      </w:r>
      <w:r w:rsidRPr="00D47442">
        <w:rPr>
          <w:rFonts w:cstheme="minorHAnsi"/>
        </w:rPr>
        <w:t xml:space="preserve"> e di aver compreso lo scopo e la natura </w:t>
      </w:r>
      <w:r w:rsidR="00FC36E8">
        <w:rPr>
          <w:rFonts w:cstheme="minorHAnsi"/>
        </w:rPr>
        <w:t xml:space="preserve">del Trattamento </w:t>
      </w:r>
      <w:r w:rsidR="001D62B4">
        <w:rPr>
          <w:rFonts w:cstheme="minorHAnsi"/>
        </w:rPr>
        <w:t>di Vasectomia</w:t>
      </w:r>
      <w:r w:rsidR="00FC36E8">
        <w:rPr>
          <w:rFonts w:cstheme="minorHAnsi"/>
        </w:rPr>
        <w:t xml:space="preserve"> de</w:t>
      </w:r>
      <w:r w:rsidRPr="00D47442">
        <w:rPr>
          <w:rFonts w:cstheme="minorHAnsi"/>
        </w:rPr>
        <w:t>scritt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 xml:space="preserve"> nel presente modulo</w:t>
      </w:r>
      <w:r w:rsidR="00FC36E8">
        <w:rPr>
          <w:rFonts w:cstheme="minorHAnsi"/>
        </w:rPr>
        <w:t xml:space="preserve">. </w:t>
      </w:r>
      <w:r w:rsidRPr="00D47442">
        <w:rPr>
          <w:rFonts w:cstheme="minorHAnsi"/>
        </w:rPr>
        <w:t xml:space="preserve">Dichiaro, altresì, di essere stato adeguatamente edotto sulle </w:t>
      </w:r>
      <w:r w:rsidR="00C5476F">
        <w:rPr>
          <w:rFonts w:cstheme="minorHAnsi"/>
        </w:rPr>
        <w:t xml:space="preserve">tecniche utilizzate, sui </w:t>
      </w:r>
      <w:r w:rsidR="001D62B4">
        <w:rPr>
          <w:rFonts w:cstheme="minorHAnsi"/>
        </w:rPr>
        <w:t>benefici</w:t>
      </w:r>
      <w:r w:rsidR="00C5476F">
        <w:rPr>
          <w:rFonts w:cstheme="minorHAnsi"/>
        </w:rPr>
        <w:t xml:space="preserve"> derivanti dal trattamento</w:t>
      </w:r>
      <w:r w:rsidR="001D62B4">
        <w:rPr>
          <w:rFonts w:cstheme="minorHAnsi"/>
        </w:rPr>
        <w:t xml:space="preserve">, sui possibili rischi e </w:t>
      </w:r>
      <w:r w:rsidRPr="00D47442">
        <w:rPr>
          <w:rFonts w:cstheme="minorHAnsi"/>
        </w:rPr>
        <w:t xml:space="preserve">complicanze </w:t>
      </w:r>
      <w:r w:rsidR="00C5476F">
        <w:rPr>
          <w:rFonts w:cstheme="minorHAnsi"/>
        </w:rPr>
        <w:t>ad esso connesse</w:t>
      </w:r>
      <w:r w:rsidR="001D62B4">
        <w:rPr>
          <w:rFonts w:cstheme="minorHAnsi"/>
        </w:rPr>
        <w:t xml:space="preserve"> e sulle eventuali alternative.</w:t>
      </w:r>
    </w:p>
    <w:p w14:paraId="579F7B62" w14:textId="76AB5A0C" w:rsidR="00C634FD" w:rsidRPr="00D47442" w:rsidRDefault="00C634FD" w:rsidP="001A6601">
      <w:pPr>
        <w:spacing w:after="0" w:line="259" w:lineRule="auto"/>
        <w:jc w:val="both"/>
        <w:rPr>
          <w:rFonts w:cstheme="minorHAnsi"/>
        </w:rPr>
      </w:pPr>
      <w:proofErr w:type="gramStart"/>
      <w:r w:rsidRPr="00D47442">
        <w:rPr>
          <w:rFonts w:cstheme="minorHAnsi"/>
        </w:rPr>
        <w:t>Presto pertanto</w:t>
      </w:r>
      <w:proofErr w:type="gramEnd"/>
      <w:r w:rsidRPr="00D47442">
        <w:rPr>
          <w:rFonts w:cstheme="minorHAnsi"/>
        </w:rPr>
        <w:t xml:space="preserve"> l’assenso al</w:t>
      </w:r>
      <w:r w:rsidR="001D62B4">
        <w:rPr>
          <w:rFonts w:cstheme="minorHAnsi"/>
        </w:rPr>
        <w:t xml:space="preserve"> trattamento </w:t>
      </w:r>
      <w:r w:rsidRPr="00D47442">
        <w:rPr>
          <w:rFonts w:cstheme="minorHAnsi"/>
        </w:rPr>
        <w:t>che mi è stata descritt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 xml:space="preserve"> e consegnat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>, per presa visione, con il presente consenso informato.</w:t>
      </w:r>
    </w:p>
    <w:p w14:paraId="1C4D3765" w14:textId="77777777" w:rsidR="00805839" w:rsidRDefault="00805839" w:rsidP="001A6601">
      <w:pPr>
        <w:spacing w:after="0" w:line="259" w:lineRule="auto"/>
        <w:jc w:val="both"/>
        <w:rPr>
          <w:rFonts w:cstheme="minorHAnsi"/>
        </w:rPr>
      </w:pPr>
    </w:p>
    <w:p w14:paraId="5952DA88" w14:textId="77777777" w:rsidR="008F2FE5" w:rsidRDefault="008F2FE5" w:rsidP="00144E20">
      <w:pPr>
        <w:spacing w:after="160" w:line="259" w:lineRule="auto"/>
        <w:jc w:val="both"/>
        <w:rPr>
          <w:rFonts w:cstheme="minorHAnsi"/>
        </w:rPr>
      </w:pPr>
    </w:p>
    <w:p w14:paraId="375538C1" w14:textId="77777777" w:rsidR="00C634FD" w:rsidRDefault="00C634FD" w:rsidP="00144E20">
      <w:pPr>
        <w:spacing w:after="16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Firma del paziente</w:t>
      </w:r>
      <w:r>
        <w:rPr>
          <w:rFonts w:cstheme="minorHAnsi"/>
        </w:rPr>
        <w:t xml:space="preserve">                                                    </w:t>
      </w:r>
      <w:r w:rsidR="007058C0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Firma </w:t>
      </w:r>
      <w:r w:rsidR="000C5235">
        <w:rPr>
          <w:rFonts w:cstheme="minorHAnsi"/>
        </w:rPr>
        <w:t xml:space="preserve">del </w:t>
      </w:r>
      <w:r w:rsidR="00EC2E26">
        <w:rPr>
          <w:rFonts w:cstheme="minorHAnsi"/>
        </w:rPr>
        <w:t xml:space="preserve">medico </w:t>
      </w:r>
    </w:p>
    <w:p w14:paraId="5B6F0A52" w14:textId="77777777" w:rsidR="00C634FD" w:rsidRPr="00D47442" w:rsidRDefault="00C634FD" w:rsidP="00144E20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________________________________                                                     ________________________________</w:t>
      </w:r>
    </w:p>
    <w:p w14:paraId="4DEBCD32" w14:textId="77777777" w:rsidR="006633C8" w:rsidRPr="007E71A6" w:rsidRDefault="006633C8" w:rsidP="007E71A6">
      <w:pPr>
        <w:spacing w:after="0" w:line="240" w:lineRule="auto"/>
        <w:jc w:val="both"/>
        <w:rPr>
          <w:rFonts w:cstheme="minorHAnsi"/>
        </w:rPr>
      </w:pPr>
    </w:p>
    <w:sectPr w:rsidR="006633C8" w:rsidRPr="007E71A6" w:rsidSect="00805839">
      <w:headerReference w:type="default" r:id="rId12"/>
      <w:footerReference w:type="default" r:id="rId13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DA28" w14:textId="77777777" w:rsidR="00AC56A8" w:rsidRDefault="00AC56A8" w:rsidP="007E71A6">
      <w:pPr>
        <w:spacing w:after="0" w:line="240" w:lineRule="auto"/>
      </w:pPr>
      <w:r>
        <w:separator/>
      </w:r>
    </w:p>
  </w:endnote>
  <w:endnote w:type="continuationSeparator" w:id="0">
    <w:p w14:paraId="0A8F28A2" w14:textId="77777777" w:rsidR="00AC56A8" w:rsidRDefault="00AC56A8" w:rsidP="007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769364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1A52E76" w14:textId="0349301E" w:rsidR="00B91F84" w:rsidRDefault="00B91F84" w:rsidP="00B91F84">
            <w:pPr>
              <w:pStyle w:val="Pidipagina"/>
              <w:jc w:val="right"/>
            </w:pPr>
            <w:r w:rsidRPr="00B91F84">
              <w:rPr>
                <w:sz w:val="16"/>
                <w:szCs w:val="16"/>
              </w:rPr>
              <w:t xml:space="preserve">Pag. </w:t>
            </w:r>
            <w:r w:rsidRPr="00B91F84">
              <w:rPr>
                <w:b/>
                <w:bCs/>
                <w:sz w:val="16"/>
                <w:szCs w:val="16"/>
              </w:rPr>
              <w:fldChar w:fldCharType="begin"/>
            </w:r>
            <w:r w:rsidRPr="00B91F84">
              <w:rPr>
                <w:b/>
                <w:bCs/>
                <w:sz w:val="16"/>
                <w:szCs w:val="16"/>
              </w:rPr>
              <w:instrText>PAGE</w:instrText>
            </w:r>
            <w:r w:rsidRPr="00B91F84">
              <w:rPr>
                <w:b/>
                <w:bCs/>
                <w:sz w:val="16"/>
                <w:szCs w:val="16"/>
              </w:rPr>
              <w:fldChar w:fldCharType="separate"/>
            </w:r>
            <w:r w:rsidRPr="00B91F84">
              <w:rPr>
                <w:b/>
                <w:bCs/>
                <w:sz w:val="16"/>
                <w:szCs w:val="16"/>
              </w:rPr>
              <w:t>2</w:t>
            </w:r>
            <w:r w:rsidRPr="00B91F84">
              <w:rPr>
                <w:b/>
                <w:bCs/>
                <w:sz w:val="16"/>
                <w:szCs w:val="16"/>
              </w:rPr>
              <w:fldChar w:fldCharType="end"/>
            </w:r>
            <w:r w:rsidRPr="00B91F84">
              <w:rPr>
                <w:sz w:val="16"/>
                <w:szCs w:val="16"/>
              </w:rPr>
              <w:t xml:space="preserve"> a </w:t>
            </w:r>
            <w:r w:rsidRPr="00B91F84">
              <w:rPr>
                <w:b/>
                <w:bCs/>
                <w:sz w:val="16"/>
                <w:szCs w:val="16"/>
              </w:rPr>
              <w:fldChar w:fldCharType="begin"/>
            </w:r>
            <w:r w:rsidRPr="00B91F84">
              <w:rPr>
                <w:b/>
                <w:bCs/>
                <w:sz w:val="16"/>
                <w:szCs w:val="16"/>
              </w:rPr>
              <w:instrText>NUMPAGES</w:instrText>
            </w:r>
            <w:r w:rsidRPr="00B91F84">
              <w:rPr>
                <w:b/>
                <w:bCs/>
                <w:sz w:val="16"/>
                <w:szCs w:val="16"/>
              </w:rPr>
              <w:fldChar w:fldCharType="separate"/>
            </w:r>
            <w:r w:rsidRPr="00B91F84">
              <w:rPr>
                <w:b/>
                <w:bCs/>
                <w:sz w:val="16"/>
                <w:szCs w:val="16"/>
              </w:rPr>
              <w:t>2</w:t>
            </w:r>
            <w:r w:rsidRPr="00B91F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9AF8CD" w14:textId="77777777" w:rsidR="00335AB1" w:rsidRDefault="00335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E66A" w14:textId="77777777" w:rsidR="00AC56A8" w:rsidRDefault="00AC56A8" w:rsidP="007E71A6">
      <w:pPr>
        <w:spacing w:after="0" w:line="240" w:lineRule="auto"/>
      </w:pPr>
      <w:r>
        <w:separator/>
      </w:r>
    </w:p>
  </w:footnote>
  <w:footnote w:type="continuationSeparator" w:id="0">
    <w:p w14:paraId="50E43269" w14:textId="77777777" w:rsidR="00AC56A8" w:rsidRDefault="00AC56A8" w:rsidP="007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48C5" w14:textId="77777777" w:rsidR="00335AB1" w:rsidRDefault="00335AB1" w:rsidP="00805839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A03C2F0" w14:paraId="4C6C3E8E" w14:textId="77777777" w:rsidTr="00B91F84">
      <w:tc>
        <w:tcPr>
          <w:tcW w:w="3213" w:type="dxa"/>
        </w:tcPr>
        <w:p w14:paraId="0DFA6D75" w14:textId="3C257A99" w:rsidR="0A03C2F0" w:rsidRDefault="0A03C2F0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81348D7" wp14:editId="38FB1ED1">
                <wp:extent cx="714375" cy="771525"/>
                <wp:effectExtent l="0" t="0" r="0" b="0"/>
                <wp:docPr id="1444852739" name="Immagine 1444852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31CCE8F" w14:textId="0A2F4C6B" w:rsidR="0A03C2F0" w:rsidRDefault="0A03C2F0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69041B6D" w14:textId="21B7E04B" w:rsidR="0A03C2F0" w:rsidRDefault="0A03C2F0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0A03C2F0">
            <w:rPr>
              <w:rFonts w:ascii="Calibri" w:eastAsia="Calibri" w:hAnsi="Calibri" w:cs="Calibri"/>
              <w:b/>
              <w:bCs/>
            </w:rPr>
            <w:t xml:space="preserve">CONSENSO INFORMATO DENSITOMETRIA OSSEA O MOC </w:t>
          </w:r>
        </w:p>
      </w:tc>
      <w:tc>
        <w:tcPr>
          <w:tcW w:w="3213" w:type="dxa"/>
        </w:tcPr>
        <w:p w14:paraId="5AC82B06" w14:textId="4C2D8412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All.46 PG 13</w:t>
          </w:r>
        </w:p>
        <w:p w14:paraId="6FC211E0" w14:textId="0E235EF2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1B0DE624" w14:textId="4D348FCA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5E2CCB63" w14:textId="53B3B414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4D8FED96" w14:textId="4C480CBB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536AC8AA" w14:textId="66E93B67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36314069" w14:textId="34146CE8" w:rsidR="0A03C2F0" w:rsidRDefault="0A03C2F0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7175F604" w14:textId="77777777" w:rsidR="00335AB1" w:rsidRDefault="00335AB1" w:rsidP="008058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188C"/>
    <w:multiLevelType w:val="hybridMultilevel"/>
    <w:tmpl w:val="CE24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D61"/>
    <w:multiLevelType w:val="hybridMultilevel"/>
    <w:tmpl w:val="0468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735"/>
    <w:multiLevelType w:val="hybridMultilevel"/>
    <w:tmpl w:val="D6FE7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B80"/>
    <w:multiLevelType w:val="hybridMultilevel"/>
    <w:tmpl w:val="835E364C"/>
    <w:lvl w:ilvl="0" w:tplc="5D2E1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7E4"/>
    <w:multiLevelType w:val="hybridMultilevel"/>
    <w:tmpl w:val="076C1A5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122211E"/>
    <w:multiLevelType w:val="hybridMultilevel"/>
    <w:tmpl w:val="7F1CEC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6A3FB4"/>
    <w:multiLevelType w:val="hybridMultilevel"/>
    <w:tmpl w:val="9500C56A"/>
    <w:lvl w:ilvl="0" w:tplc="FB26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CF3"/>
    <w:multiLevelType w:val="hybridMultilevel"/>
    <w:tmpl w:val="94B43944"/>
    <w:lvl w:ilvl="0" w:tplc="8FAAD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62EE3"/>
    <w:multiLevelType w:val="hybridMultilevel"/>
    <w:tmpl w:val="F1E21314"/>
    <w:lvl w:ilvl="0" w:tplc="5E3A5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020AA"/>
    <w:multiLevelType w:val="hybridMultilevel"/>
    <w:tmpl w:val="7A0A76F0"/>
    <w:lvl w:ilvl="0" w:tplc="0F5485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8"/>
    <w:rsid w:val="000169CA"/>
    <w:rsid w:val="00020E66"/>
    <w:rsid w:val="00043A20"/>
    <w:rsid w:val="00051EB0"/>
    <w:rsid w:val="000635B9"/>
    <w:rsid w:val="000A1293"/>
    <w:rsid w:val="000C5235"/>
    <w:rsid w:val="000E7A1A"/>
    <w:rsid w:val="001029B5"/>
    <w:rsid w:val="0011499C"/>
    <w:rsid w:val="00144E20"/>
    <w:rsid w:val="0017388A"/>
    <w:rsid w:val="001758C8"/>
    <w:rsid w:val="00185F22"/>
    <w:rsid w:val="00193081"/>
    <w:rsid w:val="001A6601"/>
    <w:rsid w:val="001C379A"/>
    <w:rsid w:val="001D62B4"/>
    <w:rsid w:val="00224DE8"/>
    <w:rsid w:val="00240645"/>
    <w:rsid w:val="00283EBE"/>
    <w:rsid w:val="002F1599"/>
    <w:rsid w:val="00335AB1"/>
    <w:rsid w:val="00342145"/>
    <w:rsid w:val="00366B56"/>
    <w:rsid w:val="00371460"/>
    <w:rsid w:val="003855B5"/>
    <w:rsid w:val="003929CC"/>
    <w:rsid w:val="00395E10"/>
    <w:rsid w:val="00397D4F"/>
    <w:rsid w:val="003D20BB"/>
    <w:rsid w:val="003E1670"/>
    <w:rsid w:val="003E35BB"/>
    <w:rsid w:val="003F327B"/>
    <w:rsid w:val="003F7375"/>
    <w:rsid w:val="00406019"/>
    <w:rsid w:val="00446957"/>
    <w:rsid w:val="00446A9E"/>
    <w:rsid w:val="004721D2"/>
    <w:rsid w:val="004A3907"/>
    <w:rsid w:val="004D09D6"/>
    <w:rsid w:val="004E48D9"/>
    <w:rsid w:val="004F7A38"/>
    <w:rsid w:val="00502CC4"/>
    <w:rsid w:val="005165D9"/>
    <w:rsid w:val="005268ED"/>
    <w:rsid w:val="00533115"/>
    <w:rsid w:val="005758B7"/>
    <w:rsid w:val="005D47BB"/>
    <w:rsid w:val="00622E1B"/>
    <w:rsid w:val="0065634E"/>
    <w:rsid w:val="006633C8"/>
    <w:rsid w:val="006958C6"/>
    <w:rsid w:val="006A4020"/>
    <w:rsid w:val="006B3C72"/>
    <w:rsid w:val="006B5EFE"/>
    <w:rsid w:val="006E1610"/>
    <w:rsid w:val="006E7C58"/>
    <w:rsid w:val="007058C0"/>
    <w:rsid w:val="00751976"/>
    <w:rsid w:val="00794D91"/>
    <w:rsid w:val="007A441A"/>
    <w:rsid w:val="007B367C"/>
    <w:rsid w:val="007B3E4B"/>
    <w:rsid w:val="007B6312"/>
    <w:rsid w:val="007D1A9D"/>
    <w:rsid w:val="007E6AD4"/>
    <w:rsid w:val="007E71A6"/>
    <w:rsid w:val="007F7202"/>
    <w:rsid w:val="007F75AF"/>
    <w:rsid w:val="00805839"/>
    <w:rsid w:val="00810249"/>
    <w:rsid w:val="00883C6F"/>
    <w:rsid w:val="008A2C04"/>
    <w:rsid w:val="008A70F6"/>
    <w:rsid w:val="008C1719"/>
    <w:rsid w:val="008F2FE5"/>
    <w:rsid w:val="009004FC"/>
    <w:rsid w:val="0096579D"/>
    <w:rsid w:val="00967085"/>
    <w:rsid w:val="00993CB5"/>
    <w:rsid w:val="009A26CB"/>
    <w:rsid w:val="00A2556F"/>
    <w:rsid w:val="00A30291"/>
    <w:rsid w:val="00A656F7"/>
    <w:rsid w:val="00AA228D"/>
    <w:rsid w:val="00AC56A8"/>
    <w:rsid w:val="00B032E6"/>
    <w:rsid w:val="00B63319"/>
    <w:rsid w:val="00B674BB"/>
    <w:rsid w:val="00B765D2"/>
    <w:rsid w:val="00B91F84"/>
    <w:rsid w:val="00B93DE9"/>
    <w:rsid w:val="00BC347E"/>
    <w:rsid w:val="00BF4BD7"/>
    <w:rsid w:val="00C20651"/>
    <w:rsid w:val="00C31864"/>
    <w:rsid w:val="00C34629"/>
    <w:rsid w:val="00C50358"/>
    <w:rsid w:val="00C5476F"/>
    <w:rsid w:val="00C56F2D"/>
    <w:rsid w:val="00C634FD"/>
    <w:rsid w:val="00CD4CC4"/>
    <w:rsid w:val="00D25A6A"/>
    <w:rsid w:val="00D336CA"/>
    <w:rsid w:val="00D568F7"/>
    <w:rsid w:val="00D840E9"/>
    <w:rsid w:val="00D94606"/>
    <w:rsid w:val="00DD3D5C"/>
    <w:rsid w:val="00E403B0"/>
    <w:rsid w:val="00E9412A"/>
    <w:rsid w:val="00EB729C"/>
    <w:rsid w:val="00EC2E26"/>
    <w:rsid w:val="00EF6BC4"/>
    <w:rsid w:val="00F259F8"/>
    <w:rsid w:val="00F61469"/>
    <w:rsid w:val="00F71E92"/>
    <w:rsid w:val="00F8451F"/>
    <w:rsid w:val="00FC36E8"/>
    <w:rsid w:val="00FD00D9"/>
    <w:rsid w:val="00FF006C"/>
    <w:rsid w:val="0A03C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9BF"/>
  <w15:docId w15:val="{8BF4CB17-9B36-4DD1-928C-293456F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A6"/>
  </w:style>
  <w:style w:type="paragraph" w:styleId="Pidipagina">
    <w:name w:val="footer"/>
    <w:basedOn w:val="Normale"/>
    <w:link w:val="Pidipagina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A6"/>
  </w:style>
  <w:style w:type="paragraph" w:styleId="NormaleWeb">
    <w:name w:val="Normal (Web)"/>
    <w:basedOn w:val="Normale"/>
    <w:uiPriority w:val="99"/>
    <w:unhideWhenUsed/>
    <w:rsid w:val="00D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460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634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-personaltrainer.it/benessere/contraccettivi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4554E-D533-44CF-8E08-9850B9901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A856B-8185-43B8-B28E-3173AAC8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ABACF-4D76-4742-AA11-C470B2293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49ACA-2458-40D3-9937-E56E3FB5E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Renata Barbaro</cp:lastModifiedBy>
  <cp:revision>14</cp:revision>
  <cp:lastPrinted>2018-07-17T10:35:00Z</cp:lastPrinted>
  <dcterms:created xsi:type="dcterms:W3CDTF">2019-01-07T09:54:00Z</dcterms:created>
  <dcterms:modified xsi:type="dcterms:W3CDTF">2021-05-18T08:41:00Z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